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8461FE" w14:textId="77777777" w:rsidR="003B36BC" w:rsidRDefault="003B36BC" w:rsidP="002C5594">
      <w:pPr>
        <w:spacing w:after="0" w:line="240" w:lineRule="auto"/>
        <w:ind w:right="1469"/>
        <w:jc w:val="both"/>
        <w:rPr>
          <w:rFonts w:ascii="Century Gothic" w:hAnsi="Century Gothic" w:cs="Arial"/>
          <w:b/>
          <w:bCs/>
          <w:color w:val="000000" w:themeColor="text1"/>
          <w:sz w:val="32"/>
          <w:szCs w:val="32"/>
        </w:rPr>
      </w:pPr>
      <w:r w:rsidRPr="003B36BC">
        <w:rPr>
          <w:rFonts w:ascii="Century Gothic" w:hAnsi="Century Gothic" w:cs="Arial"/>
          <w:b/>
          <w:bCs/>
          <w:color w:val="000000" w:themeColor="text1"/>
          <w:sz w:val="32"/>
          <w:szCs w:val="32"/>
        </w:rPr>
        <w:t>Revisión sistemática acerca de la integración de IOT en la gestión sostenible de agua en la minería</w:t>
      </w:r>
    </w:p>
    <w:p w14:paraId="15E9A1DC" w14:textId="12111CEE" w:rsidR="002C5594" w:rsidRDefault="003B36BC" w:rsidP="002C5594">
      <w:pPr>
        <w:spacing w:after="0" w:line="240" w:lineRule="auto"/>
        <w:ind w:right="1469"/>
        <w:jc w:val="both"/>
        <w:rPr>
          <w:rFonts w:ascii="Century Gothic" w:hAnsi="Century Gothic" w:cs="Arial"/>
          <w:i/>
          <w:iCs/>
          <w:noProof/>
          <w:color w:val="000000" w:themeColor="text1"/>
          <w:sz w:val="24"/>
          <w:szCs w:val="24"/>
          <w:lang w:val="en-US"/>
        </w:rPr>
      </w:pPr>
      <w:r w:rsidRPr="003B36BC">
        <w:rPr>
          <w:rFonts w:ascii="Century Gothic" w:hAnsi="Century Gothic" w:cs="Arial"/>
          <w:i/>
          <w:iCs/>
          <w:noProof/>
          <w:color w:val="000000" w:themeColor="text1"/>
          <w:sz w:val="24"/>
          <w:szCs w:val="24"/>
          <w:lang w:val="en-US"/>
        </w:rPr>
        <w:t>Systematic review on the integration of IOT in sustainable water management in mining</w:t>
      </w:r>
    </w:p>
    <w:p w14:paraId="358F8657" w14:textId="77777777" w:rsidR="003B36BC" w:rsidRDefault="003B36BC" w:rsidP="002C5594">
      <w:pPr>
        <w:spacing w:after="0" w:line="240" w:lineRule="auto"/>
        <w:ind w:right="1469"/>
        <w:jc w:val="both"/>
        <w:rPr>
          <w:rFonts w:ascii="Century Gothic" w:hAnsi="Century Gothic" w:cs="Arial"/>
          <w:i/>
          <w:iCs/>
          <w:noProof/>
          <w:color w:val="000000" w:themeColor="text1"/>
          <w:sz w:val="24"/>
          <w:szCs w:val="24"/>
          <w:lang w:val="en-US"/>
        </w:rPr>
      </w:pPr>
    </w:p>
    <w:p w14:paraId="3EF33C07" w14:textId="5CD5033E" w:rsidR="002C5594" w:rsidRPr="00CC42ED" w:rsidRDefault="002C5594" w:rsidP="002C5594">
      <w:pPr>
        <w:spacing w:after="0" w:line="240" w:lineRule="auto"/>
        <w:ind w:right="1469"/>
        <w:jc w:val="both"/>
        <w:rPr>
          <w:rFonts w:ascii="Century Gothic" w:hAnsi="Century Gothic" w:cs="Arial"/>
          <w:color w:val="000000" w:themeColor="text1"/>
          <w:sz w:val="16"/>
          <w:szCs w:val="16"/>
          <w:lang w:val="en-US"/>
        </w:rPr>
      </w:pPr>
      <w:r w:rsidRPr="00CC42ED">
        <w:rPr>
          <w:rFonts w:ascii="Century Gothic" w:hAnsi="Century Gothic" w:cs="Arial"/>
          <w:b/>
          <w:color w:val="000000" w:themeColor="text1"/>
          <w:sz w:val="16"/>
          <w:szCs w:val="16"/>
          <w:lang w:val="en-US"/>
        </w:rPr>
        <w:t>Recibido:</w:t>
      </w:r>
      <w:r w:rsidR="003B36BC">
        <w:rPr>
          <w:rFonts w:ascii="Century Gothic" w:hAnsi="Century Gothic" w:cs="Arial"/>
          <w:color w:val="000000" w:themeColor="text1"/>
          <w:sz w:val="16"/>
          <w:szCs w:val="16"/>
          <w:lang w:val="en-US"/>
        </w:rPr>
        <w:t xml:space="preserve"> 22/04</w:t>
      </w:r>
      <w:r w:rsidRPr="00CC42ED">
        <w:rPr>
          <w:rFonts w:ascii="Century Gothic" w:hAnsi="Century Gothic" w:cs="Arial"/>
          <w:color w:val="000000" w:themeColor="text1"/>
          <w:sz w:val="16"/>
          <w:szCs w:val="16"/>
          <w:lang w:val="en-US"/>
        </w:rPr>
        <w:t xml:space="preserve">/2025 - </w:t>
      </w:r>
      <w:r w:rsidRPr="00CC42ED">
        <w:rPr>
          <w:rFonts w:ascii="Century Gothic" w:hAnsi="Century Gothic" w:cs="Arial"/>
          <w:b/>
          <w:color w:val="000000" w:themeColor="text1"/>
          <w:sz w:val="16"/>
          <w:szCs w:val="16"/>
          <w:lang w:val="en-US"/>
        </w:rPr>
        <w:t>Aceptado:</w:t>
      </w:r>
      <w:r w:rsidR="003B36BC">
        <w:rPr>
          <w:rFonts w:ascii="Century Gothic" w:hAnsi="Century Gothic" w:cs="Arial"/>
          <w:color w:val="000000" w:themeColor="text1"/>
          <w:sz w:val="16"/>
          <w:szCs w:val="16"/>
          <w:lang w:val="en-US"/>
        </w:rPr>
        <w:t xml:space="preserve"> 21/07</w:t>
      </w:r>
      <w:r w:rsidRPr="00CC42ED">
        <w:rPr>
          <w:rFonts w:ascii="Century Gothic" w:hAnsi="Century Gothic" w:cs="Arial"/>
          <w:color w:val="000000" w:themeColor="text1"/>
          <w:sz w:val="16"/>
          <w:szCs w:val="16"/>
          <w:lang w:val="en-US"/>
        </w:rPr>
        <w:t>/2025</w:t>
      </w:r>
    </w:p>
    <w:p w14:paraId="43A85B34" w14:textId="45734F43" w:rsidR="000E12C1" w:rsidRDefault="000E12C1" w:rsidP="00FC3FD5">
      <w:pPr>
        <w:spacing w:after="0" w:line="240" w:lineRule="auto"/>
        <w:jc w:val="right"/>
        <w:rPr>
          <w:rFonts w:ascii="Century Gothic" w:hAnsi="Century Gothic" w:cs="Arial"/>
          <w:b/>
          <w:bCs/>
          <w:color w:val="000000" w:themeColor="text1"/>
          <w:sz w:val="18"/>
          <w:szCs w:val="18"/>
        </w:rPr>
      </w:pPr>
      <w:r w:rsidRPr="000E12C1">
        <w:rPr>
          <w:rFonts w:ascii="Century Gothic" w:hAnsi="Century Gothic" w:cs="Arial"/>
          <w:b/>
          <w:bCs/>
          <w:color w:val="000000" w:themeColor="text1"/>
          <w:sz w:val="18"/>
          <w:szCs w:val="18"/>
        </w:rPr>
        <w:t xml:space="preserve">Jesús Kliver Anchiraico Alderete </w:t>
      </w:r>
    </w:p>
    <w:p w14:paraId="1A679305" w14:textId="02464428" w:rsidR="000E12C1" w:rsidRPr="000E12C1" w:rsidRDefault="000E12C1" w:rsidP="00FC3FD5">
      <w:pPr>
        <w:spacing w:after="0" w:line="240" w:lineRule="auto"/>
        <w:jc w:val="right"/>
        <w:rPr>
          <w:rFonts w:ascii="Arial" w:hAnsi="Arial" w:cs="Arial"/>
          <w:sz w:val="18"/>
        </w:rPr>
      </w:pPr>
      <w:hyperlink r:id="rId8" w:history="1">
        <w:r w:rsidRPr="000E12C1">
          <w:rPr>
            <w:rStyle w:val="Hyperlink"/>
            <w:rFonts w:ascii="Arial" w:hAnsi="Arial" w:cs="Arial"/>
            <w:sz w:val="18"/>
          </w:rPr>
          <w:t>https://orcid.org/0009-0003-6434-0151</w:t>
        </w:r>
      </w:hyperlink>
      <w:r w:rsidRPr="000E12C1">
        <w:rPr>
          <w:rFonts w:ascii="Arial" w:hAnsi="Arial" w:cs="Arial"/>
          <w:sz w:val="18"/>
        </w:rPr>
        <w:t xml:space="preserve"> </w:t>
      </w:r>
    </w:p>
    <w:p w14:paraId="1840059C" w14:textId="23A10312" w:rsidR="000E12C1" w:rsidRPr="000E12C1" w:rsidRDefault="000E12C1" w:rsidP="00FC3FD5">
      <w:pPr>
        <w:spacing w:after="0" w:line="240" w:lineRule="auto"/>
        <w:jc w:val="right"/>
        <w:rPr>
          <w:rFonts w:ascii="Arial" w:hAnsi="Arial" w:cs="Arial"/>
          <w:sz w:val="18"/>
        </w:rPr>
      </w:pPr>
      <w:hyperlink r:id="rId9" w:history="1">
        <w:r w:rsidRPr="000E12C1">
          <w:rPr>
            <w:rStyle w:val="Hyperlink"/>
            <w:rFonts w:ascii="Arial" w:hAnsi="Arial" w:cs="Arial"/>
            <w:sz w:val="18"/>
          </w:rPr>
          <w:t>janchiraico@uncp.edu.pe</w:t>
        </w:r>
      </w:hyperlink>
    </w:p>
    <w:p w14:paraId="1E40CA97" w14:textId="042F2E78" w:rsidR="000E12C1" w:rsidRDefault="000E12C1" w:rsidP="000E12C1">
      <w:pPr>
        <w:spacing w:after="0" w:line="240" w:lineRule="auto"/>
        <w:jc w:val="right"/>
        <w:rPr>
          <w:rFonts w:ascii="Arial" w:hAnsi="Arial" w:cs="Arial"/>
          <w:color w:val="000000" w:themeColor="text1"/>
          <w:sz w:val="18"/>
          <w:szCs w:val="18"/>
        </w:rPr>
      </w:pPr>
      <w:r w:rsidRPr="000E12C1">
        <w:rPr>
          <w:rFonts w:ascii="Arial" w:hAnsi="Arial" w:cs="Arial"/>
          <w:color w:val="000000" w:themeColor="text1"/>
          <w:sz w:val="18"/>
          <w:szCs w:val="18"/>
        </w:rPr>
        <w:t>Universid</w:t>
      </w:r>
      <w:r>
        <w:rPr>
          <w:rFonts w:ascii="Arial" w:hAnsi="Arial" w:cs="Arial"/>
          <w:color w:val="000000" w:themeColor="text1"/>
          <w:sz w:val="18"/>
          <w:szCs w:val="18"/>
        </w:rPr>
        <w:t>ad Nacional del Centro del Perú. Huancayo</w:t>
      </w:r>
      <w:r w:rsidRPr="000E12C1">
        <w:rPr>
          <w:rFonts w:ascii="Arial" w:hAnsi="Arial" w:cs="Arial"/>
          <w:color w:val="000000" w:themeColor="text1"/>
          <w:sz w:val="18"/>
          <w:szCs w:val="18"/>
        </w:rPr>
        <w:t>, Perú</w:t>
      </w:r>
    </w:p>
    <w:p w14:paraId="2A1FBD00" w14:textId="1A99EDB4" w:rsidR="00FC3FD5" w:rsidRPr="000F275E" w:rsidRDefault="00FC3FD5" w:rsidP="000E12C1">
      <w:pPr>
        <w:spacing w:after="0" w:line="240" w:lineRule="auto"/>
        <w:jc w:val="right"/>
        <w:rPr>
          <w:rFonts w:ascii="Arial" w:hAnsi="Arial" w:cs="Arial"/>
          <w:color w:val="000000" w:themeColor="text1"/>
          <w:sz w:val="18"/>
          <w:szCs w:val="18"/>
        </w:rPr>
      </w:pPr>
      <w:r w:rsidRPr="000F275E">
        <w:rPr>
          <w:rFonts w:ascii="Arial" w:hAnsi="Arial" w:cs="Arial"/>
          <w:color w:val="000000" w:themeColor="text1"/>
          <w:sz w:val="18"/>
          <w:szCs w:val="18"/>
        </w:rPr>
        <w:t xml:space="preserve"> </w:t>
      </w:r>
    </w:p>
    <w:p w14:paraId="1BAD31F4" w14:textId="77777777" w:rsidR="000E12C1" w:rsidRDefault="000E12C1" w:rsidP="000E12C1">
      <w:pPr>
        <w:spacing w:after="0" w:line="240" w:lineRule="auto"/>
        <w:jc w:val="right"/>
        <w:rPr>
          <w:rFonts w:ascii="Century Gothic" w:hAnsi="Century Gothic" w:cs="Arial"/>
          <w:b/>
          <w:bCs/>
          <w:color w:val="000000" w:themeColor="text1"/>
          <w:sz w:val="18"/>
          <w:szCs w:val="18"/>
        </w:rPr>
      </w:pPr>
      <w:r w:rsidRPr="000E12C1">
        <w:rPr>
          <w:rFonts w:ascii="Century Gothic" w:hAnsi="Century Gothic" w:cs="Arial"/>
          <w:b/>
          <w:bCs/>
          <w:color w:val="000000" w:themeColor="text1"/>
          <w:sz w:val="18"/>
          <w:szCs w:val="18"/>
        </w:rPr>
        <w:t>Eugenio Emilio Orellana Mendoza</w:t>
      </w:r>
    </w:p>
    <w:p w14:paraId="6E98CE38" w14:textId="59DA02E0" w:rsidR="000E12C1" w:rsidRPr="000E12C1" w:rsidRDefault="000E12C1" w:rsidP="000E12C1">
      <w:pPr>
        <w:spacing w:after="0" w:line="240" w:lineRule="auto"/>
        <w:jc w:val="right"/>
        <w:rPr>
          <w:rFonts w:ascii="Arial" w:hAnsi="Arial" w:cs="Arial"/>
          <w:sz w:val="18"/>
        </w:rPr>
      </w:pPr>
      <w:hyperlink r:id="rId10" w:history="1">
        <w:r w:rsidRPr="000E12C1">
          <w:rPr>
            <w:rStyle w:val="Hyperlink"/>
            <w:rFonts w:ascii="Arial" w:hAnsi="Arial" w:cs="Arial"/>
            <w:sz w:val="18"/>
          </w:rPr>
          <w:t>https://orcid.org/0000-0002-8302-378X</w:t>
        </w:r>
      </w:hyperlink>
      <w:r w:rsidRPr="000E12C1">
        <w:rPr>
          <w:rFonts w:ascii="Arial" w:hAnsi="Arial" w:cs="Arial"/>
          <w:sz w:val="18"/>
        </w:rPr>
        <w:t xml:space="preserve">  </w:t>
      </w:r>
    </w:p>
    <w:p w14:paraId="27949C07" w14:textId="1951A3FA" w:rsidR="000E12C1" w:rsidRPr="000E12C1" w:rsidRDefault="000E12C1" w:rsidP="000E12C1">
      <w:pPr>
        <w:spacing w:after="0" w:line="240" w:lineRule="auto"/>
        <w:jc w:val="right"/>
        <w:rPr>
          <w:rFonts w:ascii="Arial" w:hAnsi="Arial" w:cs="Arial"/>
          <w:sz w:val="18"/>
        </w:rPr>
      </w:pPr>
      <w:hyperlink r:id="rId11" w:history="1">
        <w:r w:rsidRPr="000E12C1">
          <w:rPr>
            <w:rStyle w:val="Hyperlink"/>
            <w:rFonts w:ascii="Arial" w:hAnsi="Arial" w:cs="Arial"/>
            <w:sz w:val="18"/>
          </w:rPr>
          <w:t>eeorellana@uncp.edu.pe</w:t>
        </w:r>
      </w:hyperlink>
    </w:p>
    <w:p w14:paraId="18C81A2A" w14:textId="7C3565F0" w:rsidR="000E12C1" w:rsidRDefault="000E12C1" w:rsidP="000E12C1">
      <w:pPr>
        <w:spacing w:after="0" w:line="240" w:lineRule="auto"/>
        <w:jc w:val="right"/>
        <w:rPr>
          <w:rFonts w:ascii="Arial" w:hAnsi="Arial" w:cs="Arial"/>
          <w:color w:val="000000" w:themeColor="text1"/>
          <w:sz w:val="18"/>
          <w:szCs w:val="18"/>
        </w:rPr>
      </w:pPr>
      <w:r w:rsidRPr="000E12C1">
        <w:rPr>
          <w:rFonts w:ascii="Arial" w:hAnsi="Arial" w:cs="Arial"/>
          <w:color w:val="000000" w:themeColor="text1"/>
          <w:sz w:val="18"/>
          <w:szCs w:val="18"/>
        </w:rPr>
        <w:t>Universid</w:t>
      </w:r>
      <w:r>
        <w:rPr>
          <w:rFonts w:ascii="Arial" w:hAnsi="Arial" w:cs="Arial"/>
          <w:color w:val="000000" w:themeColor="text1"/>
          <w:sz w:val="18"/>
          <w:szCs w:val="18"/>
        </w:rPr>
        <w:t>ad Nacional del Centro del Perú. Huancayo</w:t>
      </w:r>
      <w:r w:rsidRPr="000E12C1">
        <w:rPr>
          <w:rFonts w:ascii="Arial" w:hAnsi="Arial" w:cs="Arial"/>
          <w:color w:val="000000" w:themeColor="text1"/>
          <w:sz w:val="18"/>
          <w:szCs w:val="18"/>
        </w:rPr>
        <w:t>, Perú</w:t>
      </w:r>
    </w:p>
    <w:p w14:paraId="51DBE0B5" w14:textId="77777777" w:rsidR="00DE4D3A" w:rsidRPr="000F275E" w:rsidRDefault="00DE4D3A" w:rsidP="00DE4D3A">
      <w:pPr>
        <w:spacing w:after="0" w:line="240" w:lineRule="auto"/>
        <w:jc w:val="right"/>
        <w:rPr>
          <w:rFonts w:ascii="Arial" w:hAnsi="Arial" w:cs="Arial"/>
          <w:color w:val="000000" w:themeColor="text1"/>
          <w:sz w:val="18"/>
          <w:szCs w:val="18"/>
        </w:rPr>
      </w:pPr>
    </w:p>
    <w:p w14:paraId="37485448" w14:textId="77777777" w:rsidR="000E12C1" w:rsidRDefault="000E12C1" w:rsidP="00DE4D3A">
      <w:pPr>
        <w:spacing w:after="0" w:line="240" w:lineRule="auto"/>
        <w:jc w:val="right"/>
        <w:rPr>
          <w:rFonts w:ascii="Century Gothic" w:hAnsi="Century Gothic" w:cs="Arial"/>
          <w:b/>
          <w:bCs/>
          <w:color w:val="000000" w:themeColor="text1"/>
          <w:sz w:val="18"/>
          <w:szCs w:val="18"/>
        </w:rPr>
      </w:pPr>
      <w:r w:rsidRPr="000E12C1">
        <w:rPr>
          <w:rFonts w:ascii="Century Gothic" w:hAnsi="Century Gothic" w:cs="Arial"/>
          <w:b/>
          <w:bCs/>
          <w:color w:val="000000" w:themeColor="text1"/>
          <w:sz w:val="18"/>
          <w:szCs w:val="18"/>
        </w:rPr>
        <w:t>Vilma Ayre Balbin</w:t>
      </w:r>
    </w:p>
    <w:p w14:paraId="72D508B2" w14:textId="62539DD5" w:rsidR="000E12C1" w:rsidRPr="000E12C1" w:rsidRDefault="000E12C1" w:rsidP="000E12C1">
      <w:pPr>
        <w:spacing w:after="0" w:line="240" w:lineRule="auto"/>
        <w:jc w:val="right"/>
        <w:rPr>
          <w:rFonts w:ascii="Arial" w:hAnsi="Arial" w:cs="Arial"/>
          <w:sz w:val="18"/>
        </w:rPr>
      </w:pPr>
      <w:hyperlink r:id="rId12" w:history="1">
        <w:r w:rsidRPr="007F5152">
          <w:rPr>
            <w:rStyle w:val="Hyperlink"/>
            <w:rFonts w:ascii="Arial" w:hAnsi="Arial" w:cs="Arial"/>
            <w:sz w:val="18"/>
          </w:rPr>
          <w:t>https://orcid.org/0009-0005-1580-3935</w:t>
        </w:r>
      </w:hyperlink>
      <w:r>
        <w:rPr>
          <w:rFonts w:ascii="Arial" w:hAnsi="Arial" w:cs="Arial"/>
          <w:sz w:val="18"/>
        </w:rPr>
        <w:t xml:space="preserve"> </w:t>
      </w:r>
      <w:r w:rsidRPr="000E12C1">
        <w:rPr>
          <w:rFonts w:ascii="Arial" w:hAnsi="Arial" w:cs="Arial"/>
          <w:sz w:val="18"/>
        </w:rPr>
        <w:t xml:space="preserve"> </w:t>
      </w:r>
    </w:p>
    <w:p w14:paraId="3CAA7EC5" w14:textId="2CE0CBED" w:rsidR="000E12C1" w:rsidRPr="000E12C1" w:rsidRDefault="000E12C1" w:rsidP="000E12C1">
      <w:pPr>
        <w:spacing w:after="0" w:line="240" w:lineRule="auto"/>
        <w:jc w:val="right"/>
        <w:rPr>
          <w:rFonts w:ascii="Arial" w:hAnsi="Arial" w:cs="Arial"/>
          <w:sz w:val="18"/>
        </w:rPr>
      </w:pPr>
      <w:hyperlink r:id="rId13" w:history="1">
        <w:r w:rsidRPr="000E12C1">
          <w:rPr>
            <w:rStyle w:val="Hyperlink"/>
            <w:rFonts w:ascii="Arial" w:hAnsi="Arial" w:cs="Arial"/>
            <w:sz w:val="18"/>
          </w:rPr>
          <w:t>vayre@uncp.edu.pe</w:t>
        </w:r>
      </w:hyperlink>
    </w:p>
    <w:p w14:paraId="6F3CFD22" w14:textId="02B85ABF" w:rsidR="000E12C1" w:rsidRDefault="000E12C1" w:rsidP="000E12C1">
      <w:pPr>
        <w:spacing w:after="0" w:line="240" w:lineRule="auto"/>
        <w:jc w:val="right"/>
        <w:rPr>
          <w:rFonts w:ascii="Arial" w:hAnsi="Arial" w:cs="Arial"/>
          <w:color w:val="000000" w:themeColor="text1"/>
          <w:sz w:val="18"/>
          <w:szCs w:val="18"/>
        </w:rPr>
      </w:pPr>
      <w:r w:rsidRPr="000E12C1">
        <w:rPr>
          <w:rFonts w:ascii="Arial" w:hAnsi="Arial" w:cs="Arial"/>
          <w:color w:val="000000" w:themeColor="text1"/>
          <w:sz w:val="18"/>
          <w:szCs w:val="18"/>
        </w:rPr>
        <w:t>Universid</w:t>
      </w:r>
      <w:r>
        <w:rPr>
          <w:rFonts w:ascii="Arial" w:hAnsi="Arial" w:cs="Arial"/>
          <w:color w:val="000000" w:themeColor="text1"/>
          <w:sz w:val="18"/>
          <w:szCs w:val="18"/>
        </w:rPr>
        <w:t>ad Nacional del Centro del Perú. Huancayo</w:t>
      </w:r>
      <w:r w:rsidRPr="000E12C1">
        <w:rPr>
          <w:rFonts w:ascii="Arial" w:hAnsi="Arial" w:cs="Arial"/>
          <w:color w:val="000000" w:themeColor="text1"/>
          <w:sz w:val="18"/>
          <w:szCs w:val="18"/>
        </w:rPr>
        <w:t>, Perú</w:t>
      </w:r>
    </w:p>
    <w:p w14:paraId="757E0A2E" w14:textId="08916F1A" w:rsidR="000E12C1" w:rsidRDefault="000E12C1" w:rsidP="000E12C1">
      <w:pPr>
        <w:spacing w:after="0" w:line="240" w:lineRule="auto"/>
        <w:jc w:val="right"/>
        <w:rPr>
          <w:rFonts w:ascii="Arial" w:hAnsi="Arial" w:cs="Arial"/>
          <w:color w:val="000000" w:themeColor="text1"/>
          <w:sz w:val="18"/>
          <w:szCs w:val="18"/>
        </w:rPr>
      </w:pPr>
    </w:p>
    <w:p w14:paraId="1E319D21" w14:textId="77777777" w:rsidR="000E12C1" w:rsidRDefault="000E12C1" w:rsidP="000E12C1">
      <w:pPr>
        <w:spacing w:after="0" w:line="240" w:lineRule="auto"/>
        <w:jc w:val="right"/>
        <w:rPr>
          <w:rFonts w:ascii="Century Gothic" w:hAnsi="Century Gothic" w:cs="Arial"/>
          <w:b/>
          <w:bCs/>
          <w:color w:val="000000" w:themeColor="text1"/>
          <w:sz w:val="18"/>
          <w:szCs w:val="18"/>
        </w:rPr>
      </w:pPr>
      <w:r w:rsidRPr="000E12C1">
        <w:rPr>
          <w:rFonts w:ascii="Century Gothic" w:hAnsi="Century Gothic" w:cs="Arial"/>
          <w:b/>
          <w:bCs/>
          <w:color w:val="000000" w:themeColor="text1"/>
          <w:sz w:val="18"/>
          <w:szCs w:val="18"/>
        </w:rPr>
        <w:t>Emilio David Orellana Ayre</w:t>
      </w:r>
    </w:p>
    <w:p w14:paraId="62E50603" w14:textId="753476F6" w:rsidR="000E12C1" w:rsidRPr="000E12C1" w:rsidRDefault="000E12C1" w:rsidP="000E12C1">
      <w:pPr>
        <w:spacing w:after="0" w:line="240" w:lineRule="auto"/>
        <w:jc w:val="right"/>
        <w:rPr>
          <w:rFonts w:ascii="Arial" w:hAnsi="Arial" w:cs="Arial"/>
          <w:sz w:val="18"/>
        </w:rPr>
      </w:pPr>
      <w:hyperlink r:id="rId14" w:history="1">
        <w:r w:rsidRPr="007F5152">
          <w:rPr>
            <w:rStyle w:val="Hyperlink"/>
            <w:rFonts w:ascii="Arial" w:hAnsi="Arial" w:cs="Arial"/>
            <w:sz w:val="18"/>
          </w:rPr>
          <w:t>https://orcid.org/0009-0007-0271-1729</w:t>
        </w:r>
      </w:hyperlink>
      <w:r>
        <w:rPr>
          <w:rFonts w:ascii="Arial" w:hAnsi="Arial" w:cs="Arial"/>
          <w:sz w:val="18"/>
        </w:rPr>
        <w:t xml:space="preserve"> </w:t>
      </w:r>
      <w:r w:rsidRPr="000E12C1">
        <w:rPr>
          <w:rFonts w:ascii="Arial" w:hAnsi="Arial" w:cs="Arial"/>
          <w:sz w:val="18"/>
        </w:rPr>
        <w:t xml:space="preserve"> </w:t>
      </w:r>
      <w:r>
        <w:rPr>
          <w:rFonts w:ascii="Arial" w:hAnsi="Arial" w:cs="Arial"/>
          <w:sz w:val="18"/>
        </w:rPr>
        <w:t xml:space="preserve"> </w:t>
      </w:r>
    </w:p>
    <w:p w14:paraId="32F9714E" w14:textId="105EB3D8" w:rsidR="000E12C1" w:rsidRDefault="000E12C1" w:rsidP="000E12C1">
      <w:pPr>
        <w:spacing w:after="0" w:line="240" w:lineRule="auto"/>
        <w:jc w:val="right"/>
        <w:rPr>
          <w:rFonts w:ascii="Arial" w:hAnsi="Arial" w:cs="Arial"/>
          <w:sz w:val="18"/>
        </w:rPr>
      </w:pPr>
      <w:hyperlink r:id="rId15" w:history="1">
        <w:r w:rsidRPr="007F5152">
          <w:rPr>
            <w:rStyle w:val="Hyperlink"/>
            <w:rFonts w:ascii="Arial" w:hAnsi="Arial" w:cs="Arial"/>
            <w:sz w:val="18"/>
          </w:rPr>
          <w:t>e_2006200286D@uncp.edu.pe</w:t>
        </w:r>
      </w:hyperlink>
    </w:p>
    <w:p w14:paraId="62227071" w14:textId="4DBEFCEA" w:rsidR="000E12C1" w:rsidRDefault="000E12C1" w:rsidP="000E12C1">
      <w:pPr>
        <w:spacing w:after="0" w:line="240" w:lineRule="auto"/>
        <w:jc w:val="right"/>
        <w:rPr>
          <w:rFonts w:ascii="Arial" w:hAnsi="Arial" w:cs="Arial"/>
          <w:color w:val="000000" w:themeColor="text1"/>
          <w:sz w:val="18"/>
          <w:szCs w:val="18"/>
        </w:rPr>
      </w:pPr>
      <w:r w:rsidRPr="000E12C1">
        <w:rPr>
          <w:rFonts w:ascii="Arial" w:hAnsi="Arial" w:cs="Arial"/>
          <w:color w:val="000000" w:themeColor="text1"/>
          <w:sz w:val="18"/>
          <w:szCs w:val="18"/>
        </w:rPr>
        <w:t>Universid</w:t>
      </w:r>
      <w:r>
        <w:rPr>
          <w:rFonts w:ascii="Arial" w:hAnsi="Arial" w:cs="Arial"/>
          <w:color w:val="000000" w:themeColor="text1"/>
          <w:sz w:val="18"/>
          <w:szCs w:val="18"/>
        </w:rPr>
        <w:t>ad Nacional del Centro del Perú. Huancayo</w:t>
      </w:r>
      <w:r w:rsidRPr="000E12C1">
        <w:rPr>
          <w:rFonts w:ascii="Arial" w:hAnsi="Arial" w:cs="Arial"/>
          <w:color w:val="000000" w:themeColor="text1"/>
          <w:sz w:val="18"/>
          <w:szCs w:val="18"/>
        </w:rPr>
        <w:t>, Perú</w:t>
      </w:r>
    </w:p>
    <w:p w14:paraId="4E5FE7E0" w14:textId="42EA3EDC" w:rsidR="000E12C1" w:rsidRDefault="000E12C1" w:rsidP="000E12C1">
      <w:pPr>
        <w:spacing w:after="0" w:line="240" w:lineRule="auto"/>
        <w:jc w:val="right"/>
        <w:rPr>
          <w:rFonts w:ascii="Arial" w:hAnsi="Arial" w:cs="Arial"/>
          <w:color w:val="000000" w:themeColor="text1"/>
          <w:sz w:val="18"/>
          <w:szCs w:val="18"/>
        </w:rPr>
      </w:pPr>
    </w:p>
    <w:p w14:paraId="2F7A62DA" w14:textId="052F1260" w:rsidR="000E12C1" w:rsidRDefault="000E12C1" w:rsidP="000E12C1">
      <w:pPr>
        <w:spacing w:after="0" w:line="240" w:lineRule="auto"/>
        <w:jc w:val="right"/>
        <w:rPr>
          <w:rFonts w:ascii="Arial" w:hAnsi="Arial" w:cs="Arial"/>
          <w:color w:val="000000" w:themeColor="text1"/>
          <w:sz w:val="18"/>
          <w:szCs w:val="18"/>
        </w:rPr>
      </w:pPr>
    </w:p>
    <w:p w14:paraId="0BF6FDCE" w14:textId="35CD133B" w:rsidR="000E12C1" w:rsidRDefault="000E12C1" w:rsidP="000E12C1">
      <w:pPr>
        <w:spacing w:after="0" w:line="240" w:lineRule="auto"/>
        <w:jc w:val="right"/>
        <w:rPr>
          <w:rFonts w:ascii="Century Gothic" w:hAnsi="Century Gothic" w:cs="Arial"/>
          <w:b/>
          <w:bCs/>
          <w:color w:val="000000" w:themeColor="text1"/>
          <w:sz w:val="18"/>
          <w:szCs w:val="18"/>
        </w:rPr>
      </w:pPr>
      <w:r w:rsidRPr="000E12C1">
        <w:rPr>
          <w:rFonts w:ascii="Century Gothic" w:hAnsi="Century Gothic" w:cs="Arial"/>
          <w:b/>
          <w:bCs/>
          <w:color w:val="000000" w:themeColor="text1"/>
          <w:sz w:val="18"/>
          <w:szCs w:val="18"/>
        </w:rPr>
        <w:t xml:space="preserve">Henry </w:t>
      </w:r>
      <w:r w:rsidR="00B027DD" w:rsidRPr="000E12C1">
        <w:rPr>
          <w:rFonts w:ascii="Century Gothic" w:hAnsi="Century Gothic" w:cs="Arial"/>
          <w:b/>
          <w:bCs/>
          <w:color w:val="000000" w:themeColor="text1"/>
          <w:sz w:val="18"/>
          <w:szCs w:val="18"/>
        </w:rPr>
        <w:t>Héctor</w:t>
      </w:r>
      <w:r w:rsidRPr="000E12C1">
        <w:rPr>
          <w:rFonts w:ascii="Century Gothic" w:hAnsi="Century Gothic" w:cs="Arial"/>
          <w:b/>
          <w:bCs/>
          <w:color w:val="000000" w:themeColor="text1"/>
          <w:sz w:val="18"/>
          <w:szCs w:val="18"/>
        </w:rPr>
        <w:t xml:space="preserve"> Peceros Oscco</w:t>
      </w:r>
    </w:p>
    <w:p w14:paraId="48063D18" w14:textId="726F2E1D" w:rsidR="000E12C1" w:rsidRPr="000E12C1" w:rsidRDefault="000E12C1" w:rsidP="000E12C1">
      <w:pPr>
        <w:spacing w:after="0" w:line="240" w:lineRule="auto"/>
        <w:jc w:val="right"/>
        <w:rPr>
          <w:rFonts w:ascii="Arial" w:hAnsi="Arial" w:cs="Arial"/>
          <w:sz w:val="18"/>
        </w:rPr>
      </w:pPr>
      <w:hyperlink r:id="rId16" w:history="1">
        <w:r w:rsidRPr="007F5152">
          <w:rPr>
            <w:rStyle w:val="Hyperlink"/>
            <w:rFonts w:ascii="Arial" w:hAnsi="Arial" w:cs="Arial"/>
            <w:sz w:val="18"/>
          </w:rPr>
          <w:t>https://orcid.org/0009-0004-0337-3942</w:t>
        </w:r>
      </w:hyperlink>
      <w:r>
        <w:rPr>
          <w:rFonts w:ascii="Arial" w:hAnsi="Arial" w:cs="Arial"/>
          <w:sz w:val="18"/>
        </w:rPr>
        <w:t xml:space="preserve"> </w:t>
      </w:r>
      <w:r w:rsidRPr="000E12C1">
        <w:rPr>
          <w:rFonts w:ascii="Arial" w:hAnsi="Arial" w:cs="Arial"/>
          <w:sz w:val="18"/>
        </w:rPr>
        <w:t xml:space="preserve"> </w:t>
      </w:r>
    </w:p>
    <w:p w14:paraId="3FE5AAD5" w14:textId="44447107" w:rsidR="000E12C1" w:rsidRDefault="000E12C1" w:rsidP="000E12C1">
      <w:pPr>
        <w:spacing w:after="0" w:line="240" w:lineRule="auto"/>
        <w:jc w:val="right"/>
        <w:rPr>
          <w:rFonts w:ascii="Arial" w:hAnsi="Arial" w:cs="Arial"/>
          <w:sz w:val="18"/>
        </w:rPr>
      </w:pPr>
      <w:hyperlink r:id="rId17" w:history="1">
        <w:r w:rsidRPr="007F5152">
          <w:rPr>
            <w:rStyle w:val="Hyperlink"/>
            <w:rFonts w:ascii="Arial" w:hAnsi="Arial" w:cs="Arial"/>
            <w:sz w:val="18"/>
          </w:rPr>
          <w:t>hpeceros@uncp.edu.pe</w:t>
        </w:r>
      </w:hyperlink>
    </w:p>
    <w:p w14:paraId="5A986116" w14:textId="01A8B2F2" w:rsidR="000E12C1" w:rsidRDefault="000E12C1" w:rsidP="000E12C1">
      <w:pPr>
        <w:spacing w:after="0" w:line="240" w:lineRule="auto"/>
        <w:jc w:val="right"/>
        <w:rPr>
          <w:rFonts w:ascii="Arial" w:hAnsi="Arial" w:cs="Arial"/>
          <w:color w:val="000000" w:themeColor="text1"/>
          <w:sz w:val="18"/>
          <w:szCs w:val="18"/>
        </w:rPr>
      </w:pPr>
      <w:r w:rsidRPr="000E12C1">
        <w:rPr>
          <w:rFonts w:ascii="Arial" w:hAnsi="Arial" w:cs="Arial"/>
          <w:color w:val="000000" w:themeColor="text1"/>
          <w:sz w:val="18"/>
          <w:szCs w:val="18"/>
        </w:rPr>
        <w:t>Universid</w:t>
      </w:r>
      <w:r>
        <w:rPr>
          <w:rFonts w:ascii="Arial" w:hAnsi="Arial" w:cs="Arial"/>
          <w:color w:val="000000" w:themeColor="text1"/>
          <w:sz w:val="18"/>
          <w:szCs w:val="18"/>
        </w:rPr>
        <w:t>ad Nacional del Centro del Perú. Huancayo</w:t>
      </w:r>
      <w:r w:rsidRPr="000E12C1">
        <w:rPr>
          <w:rFonts w:ascii="Arial" w:hAnsi="Arial" w:cs="Arial"/>
          <w:color w:val="000000" w:themeColor="text1"/>
          <w:sz w:val="18"/>
          <w:szCs w:val="18"/>
        </w:rPr>
        <w:t>, Perú</w:t>
      </w:r>
    </w:p>
    <w:p w14:paraId="79E0A3CB" w14:textId="77777777" w:rsidR="000E12C1" w:rsidRDefault="000E12C1" w:rsidP="000E12C1">
      <w:pPr>
        <w:spacing w:after="0" w:line="240" w:lineRule="auto"/>
        <w:jc w:val="right"/>
        <w:rPr>
          <w:rFonts w:ascii="Arial" w:hAnsi="Arial" w:cs="Arial"/>
          <w:color w:val="000000" w:themeColor="text1"/>
          <w:sz w:val="18"/>
          <w:szCs w:val="18"/>
        </w:rPr>
      </w:pPr>
    </w:p>
    <w:p w14:paraId="04865AF0" w14:textId="77777777" w:rsidR="00DE4D3A" w:rsidRPr="000F275E" w:rsidRDefault="00DE4D3A" w:rsidP="00FC3FD5">
      <w:pPr>
        <w:spacing w:after="0" w:line="240" w:lineRule="auto"/>
        <w:jc w:val="right"/>
        <w:rPr>
          <w:rFonts w:ascii="Prompt" w:hAnsi="Prompt" w:cs="Prompt"/>
          <w:color w:val="000000" w:themeColor="text1"/>
          <w:sz w:val="18"/>
          <w:szCs w:val="18"/>
        </w:rPr>
      </w:pPr>
    </w:p>
    <w:p w14:paraId="315B59F8" w14:textId="77777777" w:rsidR="00C00984" w:rsidRPr="002C5594" w:rsidRDefault="00C00984" w:rsidP="00C00984">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t>Resumen</w:t>
      </w:r>
    </w:p>
    <w:p w14:paraId="249DE1D6" w14:textId="3C36C5AE" w:rsidR="00FA5490" w:rsidRDefault="00841795" w:rsidP="00841795">
      <w:pPr>
        <w:spacing w:after="0" w:line="240" w:lineRule="auto"/>
        <w:jc w:val="both"/>
        <w:rPr>
          <w:rFonts w:ascii="Arial" w:hAnsi="Arial" w:cs="Arial"/>
          <w:color w:val="000000" w:themeColor="text1"/>
          <w:sz w:val="20"/>
          <w:szCs w:val="20"/>
        </w:rPr>
      </w:pPr>
      <w:r w:rsidRPr="00841795">
        <w:rPr>
          <w:rFonts w:ascii="Arial" w:hAnsi="Arial" w:cs="Arial"/>
          <w:color w:val="000000" w:themeColor="text1"/>
          <w:sz w:val="20"/>
          <w:szCs w:val="20"/>
        </w:rPr>
        <w:t>El presente artículo desarrolla una revisión sistemática en el contexto de la sostenibilidad ambiental y la minería 4.0 en la industria extractiva, con el objetivo de analizar la efectividad del uso del Internet de las Cosas (IoT) en la gestión sostenible del agua. A partir de la revisión de 63 artículos científicos, se seleccionaron 20 investigaciones relevantes para un análisis más exhaustivo. Se identificaron tecnologías clave como sensores inteligentes, microcontroladores y plataformas en la nube, las cuales resultan fundamentales para el monitoreo en tiempo real y el control</w:t>
      </w:r>
      <w:r>
        <w:rPr>
          <w:rFonts w:ascii="Arial" w:hAnsi="Arial" w:cs="Arial"/>
          <w:color w:val="000000" w:themeColor="text1"/>
          <w:sz w:val="20"/>
          <w:szCs w:val="20"/>
        </w:rPr>
        <w:t xml:space="preserve"> eficiente del recurso hídrico. </w:t>
      </w:r>
      <w:r w:rsidRPr="00841795">
        <w:rPr>
          <w:rFonts w:ascii="Arial" w:hAnsi="Arial" w:cs="Arial"/>
          <w:color w:val="000000" w:themeColor="text1"/>
          <w:sz w:val="20"/>
          <w:szCs w:val="20"/>
        </w:rPr>
        <w:t>Los resultados evidencian que el uso del IoT incrementa significativamente la eficiencia en la gestión y el tratamiento del agua, principalmente mediante la detección temprana de fugas. No obstante, se identificaron barreras para su implementación, especialmente en contextos rurales y operaciones de pequeña minería, tales como la limitada conectividad y la carencia de capacidad</w:t>
      </w:r>
      <w:r>
        <w:rPr>
          <w:rFonts w:ascii="Arial" w:hAnsi="Arial" w:cs="Arial"/>
          <w:color w:val="000000" w:themeColor="text1"/>
          <w:sz w:val="20"/>
          <w:szCs w:val="20"/>
        </w:rPr>
        <w:t xml:space="preserve">es técnicas en las comunidades. </w:t>
      </w:r>
      <w:r w:rsidRPr="00841795">
        <w:rPr>
          <w:rFonts w:ascii="Arial" w:hAnsi="Arial" w:cs="Arial"/>
          <w:color w:val="000000" w:themeColor="text1"/>
          <w:sz w:val="20"/>
          <w:szCs w:val="20"/>
        </w:rPr>
        <w:t>La conclusión destaca el valor de integrar tecnologías emergentes, como la inteligencia artificial y blockchain, para fortalecer la toma de decisiones en materia ambiental, considerando no solo el agua, sino también la calidad del aire. Se recomienda promover estudios de campo en minas reales y avanzar en la adopción de soluciones tecnológicas adaptadas a diversos entornos, especialmente en América Latina. Este análisis constituye una base sólida para futuras investigaciones sobre el uso del IoT en la gestión hídrica en el sector minero.</w:t>
      </w:r>
    </w:p>
    <w:p w14:paraId="1260A8B8" w14:textId="77777777" w:rsidR="00841795" w:rsidRPr="000F275E" w:rsidRDefault="00841795" w:rsidP="00841795">
      <w:pPr>
        <w:spacing w:after="0" w:line="240" w:lineRule="auto"/>
        <w:jc w:val="both"/>
        <w:rPr>
          <w:rFonts w:ascii="Arial" w:hAnsi="Arial" w:cs="Arial"/>
          <w:color w:val="000000" w:themeColor="text1"/>
          <w:sz w:val="20"/>
          <w:szCs w:val="20"/>
        </w:rPr>
      </w:pPr>
    </w:p>
    <w:p w14:paraId="19D51235" w14:textId="564ED6B6" w:rsidR="00C00984" w:rsidRDefault="00C00984" w:rsidP="00C00984">
      <w:pPr>
        <w:spacing w:after="0" w:line="240" w:lineRule="auto"/>
        <w:jc w:val="both"/>
        <w:rPr>
          <w:rFonts w:ascii="Arial" w:hAnsi="Arial" w:cs="Arial"/>
          <w:color w:val="000000" w:themeColor="text1"/>
          <w:sz w:val="20"/>
          <w:szCs w:val="20"/>
        </w:rPr>
      </w:pPr>
      <w:r w:rsidRPr="000F275E">
        <w:rPr>
          <w:rFonts w:ascii="Arial" w:hAnsi="Arial" w:cs="Arial"/>
          <w:b/>
          <w:bCs/>
          <w:color w:val="000000" w:themeColor="text1"/>
          <w:sz w:val="20"/>
          <w:szCs w:val="20"/>
        </w:rPr>
        <w:t>Palabras clave</w:t>
      </w:r>
      <w:r w:rsidRPr="000F275E">
        <w:rPr>
          <w:rFonts w:ascii="Arial" w:hAnsi="Arial" w:cs="Arial"/>
          <w:color w:val="000000" w:themeColor="text1"/>
          <w:sz w:val="20"/>
          <w:szCs w:val="20"/>
        </w:rPr>
        <w:t xml:space="preserve">: </w:t>
      </w:r>
      <w:r w:rsidR="00841795">
        <w:rPr>
          <w:rFonts w:ascii="Arial" w:hAnsi="Arial" w:cs="Arial"/>
          <w:color w:val="000000" w:themeColor="text1"/>
          <w:sz w:val="20"/>
          <w:szCs w:val="20"/>
        </w:rPr>
        <w:t>Internet de las Cosas, gestión del agua,</w:t>
      </w:r>
      <w:r w:rsidR="00FA5490" w:rsidRPr="00FA5490">
        <w:rPr>
          <w:rFonts w:ascii="Arial" w:hAnsi="Arial" w:cs="Arial"/>
          <w:color w:val="000000" w:themeColor="text1"/>
          <w:sz w:val="20"/>
          <w:szCs w:val="20"/>
        </w:rPr>
        <w:t xml:space="preserve"> minería</w:t>
      </w:r>
      <w:r w:rsidR="00841795">
        <w:rPr>
          <w:rFonts w:ascii="Arial" w:hAnsi="Arial" w:cs="Arial"/>
          <w:color w:val="000000" w:themeColor="text1"/>
          <w:sz w:val="20"/>
          <w:szCs w:val="20"/>
        </w:rPr>
        <w:t xml:space="preserve"> 4.0</w:t>
      </w:r>
      <w:r w:rsidR="00FE58DB">
        <w:rPr>
          <w:rFonts w:ascii="Arial" w:hAnsi="Arial" w:cs="Arial"/>
          <w:color w:val="000000" w:themeColor="text1"/>
          <w:sz w:val="20"/>
          <w:szCs w:val="20"/>
        </w:rPr>
        <w:t>.</w:t>
      </w:r>
    </w:p>
    <w:p w14:paraId="4C6B91A9" w14:textId="77777777" w:rsidR="00FA5490" w:rsidRPr="000F275E" w:rsidRDefault="00FA5490" w:rsidP="00C00984">
      <w:pPr>
        <w:spacing w:after="0" w:line="240" w:lineRule="auto"/>
        <w:jc w:val="both"/>
        <w:rPr>
          <w:rFonts w:ascii="Arial" w:hAnsi="Arial" w:cs="Arial"/>
          <w:color w:val="000000" w:themeColor="text1"/>
          <w:sz w:val="20"/>
          <w:szCs w:val="20"/>
        </w:rPr>
      </w:pPr>
    </w:p>
    <w:p w14:paraId="1E282DC2" w14:textId="77777777" w:rsidR="00C00984" w:rsidRPr="002C5594" w:rsidRDefault="00C00984" w:rsidP="00C00984">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t>Abstract</w:t>
      </w:r>
    </w:p>
    <w:p w14:paraId="55127AFC" w14:textId="77777777" w:rsidR="00841795" w:rsidRPr="00841795" w:rsidRDefault="00841795" w:rsidP="00841795">
      <w:pPr>
        <w:spacing w:after="0" w:line="240" w:lineRule="auto"/>
        <w:jc w:val="both"/>
        <w:rPr>
          <w:rFonts w:ascii="Arial" w:hAnsi="Arial" w:cs="Arial"/>
          <w:color w:val="000000" w:themeColor="text1"/>
          <w:sz w:val="20"/>
          <w:szCs w:val="20"/>
          <w:lang w:val="en-US"/>
        </w:rPr>
      </w:pPr>
      <w:r w:rsidRPr="00841795">
        <w:rPr>
          <w:rFonts w:ascii="Arial" w:hAnsi="Arial" w:cs="Arial"/>
          <w:color w:val="000000" w:themeColor="text1"/>
          <w:sz w:val="20"/>
          <w:szCs w:val="20"/>
          <w:lang w:val="en-US"/>
        </w:rPr>
        <w:t xml:space="preserve">This article presents a systematic review in the context of environmental sustainability and mining 4.0 in the extractive industry, with the aim of analyzing the effectiveness of the Internet of Things (IoT) in sustainable water </w:t>
      </w:r>
      <w:r w:rsidRPr="00841795">
        <w:rPr>
          <w:rFonts w:ascii="Arial" w:hAnsi="Arial" w:cs="Arial"/>
          <w:color w:val="000000" w:themeColor="text1"/>
          <w:sz w:val="20"/>
          <w:szCs w:val="20"/>
          <w:lang w:val="en-US"/>
        </w:rPr>
        <w:lastRenderedPageBreak/>
        <w:t>management. Based on a review of 63 scientific articles, 20 relevant studies were selected for a more exhaustive analysis. Key technologies such as smart sensors, microcontrollers, and cloud platforms were identified as fundamental for real-time monitoring and efficient control of water resources. The results show that the use of IoT significantly increases efficiency in water management and treatment, mainly through early detection of leaks. However, barriers to its implementation were identified, especially in rural contexts and small-scale mining operations, such as limited connectivity and a lack of technical capabilities in communities. The conclusion highlights the value of integrating emerging technologies, such as artificial intelligence and blockchain, to strengthen environmental decision-making, considering not only water but also air quality. It is recommended to promote field studies in real mines and advance the adoption of technological solutions adapted to diverse environments, especially in Latin America. This analysis provides a solid foundation for future research on the use of IoT in water management in the mining sector.</w:t>
      </w:r>
    </w:p>
    <w:p w14:paraId="18D2EC1F" w14:textId="383924C0" w:rsidR="00C00984" w:rsidRPr="00841795" w:rsidRDefault="00C00984" w:rsidP="00841795">
      <w:pPr>
        <w:spacing w:after="0" w:line="240" w:lineRule="auto"/>
        <w:jc w:val="both"/>
        <w:rPr>
          <w:rFonts w:ascii="Arial" w:hAnsi="Arial" w:cs="Arial"/>
          <w:color w:val="000000" w:themeColor="text1"/>
          <w:sz w:val="20"/>
          <w:szCs w:val="20"/>
          <w:lang w:val="en-US"/>
        </w:rPr>
      </w:pPr>
    </w:p>
    <w:p w14:paraId="6EB92A9D" w14:textId="5F4347F4" w:rsidR="00EF28BE" w:rsidRPr="00FE58DB" w:rsidRDefault="00C00984" w:rsidP="00C00984">
      <w:pPr>
        <w:spacing w:after="0" w:line="240" w:lineRule="auto"/>
        <w:jc w:val="both"/>
        <w:rPr>
          <w:rFonts w:ascii="Arial" w:hAnsi="Arial" w:cs="Arial"/>
          <w:color w:val="000000" w:themeColor="text1"/>
          <w:sz w:val="20"/>
          <w:szCs w:val="20"/>
          <w:lang w:val="en-US"/>
        </w:rPr>
      </w:pPr>
      <w:r w:rsidRPr="00FE58DB">
        <w:rPr>
          <w:rFonts w:ascii="Arial" w:hAnsi="Arial" w:cs="Arial"/>
          <w:b/>
          <w:bCs/>
          <w:color w:val="000000" w:themeColor="text1"/>
          <w:sz w:val="20"/>
          <w:szCs w:val="20"/>
          <w:lang w:val="en-US"/>
        </w:rPr>
        <w:t>Keywords</w:t>
      </w:r>
      <w:r w:rsidRPr="00FE58DB">
        <w:rPr>
          <w:rFonts w:ascii="Arial" w:hAnsi="Arial" w:cs="Arial"/>
          <w:color w:val="000000" w:themeColor="text1"/>
          <w:sz w:val="20"/>
          <w:szCs w:val="20"/>
          <w:lang w:val="en-US"/>
        </w:rPr>
        <w:t xml:space="preserve">: </w:t>
      </w:r>
      <w:r w:rsidR="00FE58DB" w:rsidRPr="00FE58DB">
        <w:rPr>
          <w:rFonts w:ascii="Arial" w:hAnsi="Arial" w:cs="Arial"/>
          <w:color w:val="000000" w:themeColor="text1"/>
          <w:sz w:val="20"/>
          <w:szCs w:val="20"/>
          <w:lang w:val="en-US"/>
        </w:rPr>
        <w:t>Internet of Things, water management, mining 4.0</w:t>
      </w:r>
      <w:r w:rsidR="00FE58DB">
        <w:rPr>
          <w:rFonts w:ascii="Arial" w:hAnsi="Arial" w:cs="Arial"/>
          <w:color w:val="000000" w:themeColor="text1"/>
          <w:sz w:val="20"/>
          <w:szCs w:val="20"/>
          <w:lang w:val="en-US"/>
        </w:rPr>
        <w:t>.</w:t>
      </w:r>
    </w:p>
    <w:p w14:paraId="50A4C291" w14:textId="77777777" w:rsidR="00C00984" w:rsidRPr="00FE58DB" w:rsidRDefault="00C00984" w:rsidP="00E271E2">
      <w:pPr>
        <w:spacing w:after="0" w:line="240" w:lineRule="auto"/>
        <w:jc w:val="both"/>
        <w:rPr>
          <w:rFonts w:ascii="Arial" w:hAnsi="Arial" w:cs="Arial"/>
          <w:b/>
          <w:bCs/>
          <w:color w:val="000000" w:themeColor="text1"/>
          <w:lang w:val="en-US"/>
        </w:rPr>
      </w:pPr>
    </w:p>
    <w:p w14:paraId="5BC9267E" w14:textId="77777777" w:rsidR="00EF28BE" w:rsidRPr="002C5594" w:rsidRDefault="00EF28BE" w:rsidP="00E271E2">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t>Introducción</w:t>
      </w:r>
    </w:p>
    <w:p w14:paraId="3A373598" w14:textId="77777777" w:rsidR="00FE58DB" w:rsidRPr="00FE58DB" w:rsidRDefault="00FE58DB" w:rsidP="00FE58DB">
      <w:pPr>
        <w:spacing w:after="0" w:line="240" w:lineRule="auto"/>
        <w:ind w:firstLine="709"/>
        <w:jc w:val="both"/>
        <w:rPr>
          <w:rFonts w:ascii="Arial" w:hAnsi="Arial" w:cs="Arial"/>
          <w:color w:val="000000" w:themeColor="text1"/>
          <w:sz w:val="20"/>
          <w:szCs w:val="20"/>
        </w:rPr>
      </w:pPr>
      <w:r w:rsidRPr="00FE58DB">
        <w:rPr>
          <w:rFonts w:ascii="Arial" w:hAnsi="Arial" w:cs="Arial"/>
          <w:color w:val="000000" w:themeColor="text1"/>
          <w:sz w:val="20"/>
          <w:szCs w:val="20"/>
        </w:rPr>
        <w:t>La minería representa más del 10 % del Producto Bruto Interno (PBI) del Perú y constituye una fuente clave de divisas para el país. Sin embargo, esta industria demanda elevados volúmenes de agua y conlleva riesgos significativos de contaminación hídrica (Ministerio de Energía y Minas [MINEM], 2023). En este contexto, se evidencia la creciente relevancia de la tecnología para mejorar la gestión ambiental, el planeamiento y la seguridad en las operaciones mineras.</w:t>
      </w:r>
    </w:p>
    <w:p w14:paraId="4101A669" w14:textId="77777777" w:rsidR="00FE58DB" w:rsidRPr="00FE58DB" w:rsidRDefault="00FE58DB" w:rsidP="00FE58DB">
      <w:pPr>
        <w:spacing w:after="0" w:line="240" w:lineRule="auto"/>
        <w:ind w:firstLine="709"/>
        <w:jc w:val="both"/>
        <w:rPr>
          <w:rFonts w:ascii="Arial" w:hAnsi="Arial" w:cs="Arial"/>
          <w:color w:val="000000" w:themeColor="text1"/>
          <w:sz w:val="20"/>
          <w:szCs w:val="20"/>
        </w:rPr>
      </w:pPr>
      <w:r w:rsidRPr="00FE58DB">
        <w:rPr>
          <w:rFonts w:ascii="Arial" w:hAnsi="Arial" w:cs="Arial"/>
          <w:color w:val="000000" w:themeColor="text1"/>
          <w:sz w:val="20"/>
          <w:szCs w:val="20"/>
        </w:rPr>
        <w:t>Entre las tecnologías emergentes, el Internet de las Cosas (IoT, por sus siglas en inglés) ha surgido como una herramienta innovadora para optimizar el uso de los recursos naturales, especialmente el agua, mediante soluciones que integran sensores, monitoreo remoto y análisis de datos en tiempo real. En el ámbito minero, la revista Tecnología Minera (2024) destaca estudios recientes que evidencian la capacidad del IoT para monitorear parámetros críticos del agua —como caudal, calidad y distribución— a través de redes de sensores integradas en plataformas de análisis de datos. En sectores como la agricultura inteligente, el IoT ya ha demostrado su eficacia al permitir una reducción significativa del consumo hídrico mediante sistemas automatizados (Andrade &amp; Aguilar, 2021).</w:t>
      </w:r>
    </w:p>
    <w:p w14:paraId="4C9222FB" w14:textId="77777777" w:rsidR="00FE58DB" w:rsidRPr="00FE58DB" w:rsidRDefault="00FE58DB" w:rsidP="00FE58DB">
      <w:pPr>
        <w:spacing w:after="0" w:line="240" w:lineRule="auto"/>
        <w:ind w:firstLine="709"/>
        <w:jc w:val="both"/>
        <w:rPr>
          <w:rFonts w:ascii="Arial" w:hAnsi="Arial" w:cs="Arial"/>
          <w:color w:val="000000" w:themeColor="text1"/>
          <w:sz w:val="20"/>
          <w:szCs w:val="20"/>
        </w:rPr>
      </w:pPr>
      <w:r w:rsidRPr="00FE58DB">
        <w:rPr>
          <w:rFonts w:ascii="Arial" w:hAnsi="Arial" w:cs="Arial"/>
          <w:color w:val="000000" w:themeColor="text1"/>
          <w:sz w:val="20"/>
          <w:szCs w:val="20"/>
        </w:rPr>
        <w:t>Pese al creciente interés por el uso del IoT en la gestión del agua en la minería, la literatura científica sobre el tema presenta importantes vacíos. En primer lugar, escasean estudios que evalúen el impacto de estas tecnologías sobre la calidad del agua, especialmente en el contexto de la minería latinoamericana. En segundo lugar, aún faltan evidencias cuantitativas que permitan establecer una relación clara entre los costos de implementación del IoT y sus beneficios económicos y ambientales (Quispe, 2024). Por último, aunque los factores sociales y culturales son determinantes para el éxito de cualquier innovación tecnológica, se ha prestado poca atención a las barreras institucionales, sociales y técnicas que limitan su adopción (Basso, 2024). Por lo tanto, es fundamental comprender no solo las capacidades técnicas del IoT, sino también los factores contextuales que influyen en su implementación efectiva en distintos tipos de operaciones mineras.</w:t>
      </w:r>
    </w:p>
    <w:p w14:paraId="594E2B93" w14:textId="77777777" w:rsidR="00FE58DB" w:rsidRPr="00FE58DB" w:rsidRDefault="00FE58DB" w:rsidP="00FE58DB">
      <w:pPr>
        <w:spacing w:after="0" w:line="240" w:lineRule="auto"/>
        <w:ind w:firstLine="709"/>
        <w:jc w:val="both"/>
        <w:rPr>
          <w:rFonts w:ascii="Arial" w:hAnsi="Arial" w:cs="Arial"/>
          <w:color w:val="000000" w:themeColor="text1"/>
          <w:sz w:val="20"/>
          <w:szCs w:val="20"/>
        </w:rPr>
      </w:pPr>
      <w:r w:rsidRPr="00FE58DB">
        <w:rPr>
          <w:rFonts w:ascii="Arial" w:hAnsi="Arial" w:cs="Arial"/>
          <w:color w:val="000000" w:themeColor="text1"/>
          <w:sz w:val="20"/>
          <w:szCs w:val="20"/>
        </w:rPr>
        <w:t>El problema central que aborda esta revisión es determinar cómo la integración de tecnologías IoT contribuye a una gestión sostenible del agua en la industria minera peruana. De forma más específica, se busca responder las siguientes preguntas: ¿Qué tecnologías IoT resultan más efectivas para optimizar el consumo hídrico? (Casavilca &amp; Antonio, 2024); ¿Cuál es el retorno económico y ambiental de implementar sistemas de monitoreo continuo basados en IoT en operaciones de distinta escala?; y ¿Cuáles son las principales barreras técnicas, sociales y regulatorias que dificultan la adopción de soluciones IoT para la gestión del agua en contextos mineros rurales? (Yong, 2021).</w:t>
      </w:r>
    </w:p>
    <w:p w14:paraId="1093B62D" w14:textId="77777777" w:rsidR="00FE58DB" w:rsidRPr="00FE58DB" w:rsidRDefault="00FE58DB" w:rsidP="00FE58DB">
      <w:pPr>
        <w:spacing w:after="0" w:line="240" w:lineRule="auto"/>
        <w:ind w:firstLine="709"/>
        <w:jc w:val="both"/>
        <w:rPr>
          <w:rFonts w:ascii="Arial" w:hAnsi="Arial" w:cs="Arial"/>
          <w:color w:val="000000" w:themeColor="text1"/>
          <w:sz w:val="20"/>
          <w:szCs w:val="20"/>
        </w:rPr>
      </w:pPr>
      <w:r w:rsidRPr="00FE58DB">
        <w:rPr>
          <w:rFonts w:ascii="Arial" w:hAnsi="Arial" w:cs="Arial"/>
          <w:color w:val="000000" w:themeColor="text1"/>
          <w:sz w:val="20"/>
          <w:szCs w:val="20"/>
        </w:rPr>
        <w:t>A partir de ello, el objetivo general de este artículo es analizar el papel del Internet de las Cosas en la gestión sostenible del agua en el sector minero, considerando su impacto en la eficiencia del consumo hídrico, el control de calidad y la mitigación de impactos ambientales. Específicamente, se plantean tres objetivos: (1) identificar y comparar las tecnologías IoT empleadas en la optimización del consumo de agua en distintos niveles de operación minera; (2) evaluar los beneficios económicos y ambientales derivados de su implementación; y (3) reconocer las principales barreras técnicas, sociales y regulatorias que condicionan su adopción en comunidades mineras rurales.</w:t>
      </w:r>
    </w:p>
    <w:p w14:paraId="31B0486D" w14:textId="77777777" w:rsidR="00FE58DB" w:rsidRPr="00FE58DB" w:rsidRDefault="00FE58DB" w:rsidP="00FE58DB">
      <w:pPr>
        <w:spacing w:after="0" w:line="240" w:lineRule="auto"/>
        <w:ind w:firstLine="709"/>
        <w:jc w:val="both"/>
        <w:rPr>
          <w:rFonts w:ascii="Arial" w:hAnsi="Arial" w:cs="Arial"/>
          <w:color w:val="000000" w:themeColor="text1"/>
          <w:sz w:val="20"/>
          <w:szCs w:val="20"/>
        </w:rPr>
      </w:pPr>
      <w:r w:rsidRPr="00FE58DB">
        <w:rPr>
          <w:rFonts w:ascii="Arial" w:hAnsi="Arial" w:cs="Arial"/>
          <w:color w:val="000000" w:themeColor="text1"/>
          <w:sz w:val="20"/>
          <w:szCs w:val="20"/>
        </w:rPr>
        <w:t>En función de lo anterior, se propone la siguiente hipótesis general: la implementación de tecnologías IoT en la gestión del agua en minería mejora significativamente la eficiencia en el uso del recurso y contribuye a la reducción de impactos ambientales. De manera específica, se plantean las siguientes hipótesis: (a) el uso de sensores inteligentes IoT mejora significativamente la capacidad de monitoreo en tiempo real; (b) los sistemas IoT aplicados en operaciones mineras permiten reducir el desperdicio hídrico mediante la automatización de procesos (Basso, 2024); y (c) las barreras regulatorias y de capacitación explican más del 50 % de los obstáculos en la adopción del IoT en comunidades mineras rurales (Andrade &amp; Aguilar, 2024).</w:t>
      </w:r>
    </w:p>
    <w:p w14:paraId="30ED7A2C" w14:textId="28370CE6" w:rsidR="00FA5490" w:rsidRPr="00FA5490" w:rsidRDefault="00FE58DB" w:rsidP="00FE58DB">
      <w:pPr>
        <w:spacing w:after="0" w:line="240" w:lineRule="auto"/>
        <w:ind w:firstLine="709"/>
        <w:jc w:val="both"/>
        <w:rPr>
          <w:rFonts w:ascii="Arial" w:hAnsi="Arial" w:cs="Arial"/>
          <w:color w:val="000000" w:themeColor="text1"/>
          <w:sz w:val="20"/>
          <w:szCs w:val="20"/>
        </w:rPr>
      </w:pPr>
      <w:r w:rsidRPr="00FE58DB">
        <w:rPr>
          <w:rFonts w:ascii="Arial" w:hAnsi="Arial" w:cs="Arial"/>
          <w:color w:val="000000" w:themeColor="text1"/>
          <w:sz w:val="20"/>
          <w:szCs w:val="20"/>
        </w:rPr>
        <w:t>Esta revisión sistemática se desarrollará bajo los lineamientos del método PRISMA, el cual orienta las etapas de identificación, selección, elegibilidad e inclusión de estudios científicos publicados entre enero de 2020 y abril de 2025. Para ello, se consultarán bases de datos como PubMed, Scopus, ProQuest, Google Académico y ScienceDirect, empleando los términos “IoT” AND “water management” AND “mining” en los títulos y resúmenes. Los criterios de inclusión abarcarán investigaciones empíricas con datos cuantitativos sobre consumo o calidad del agua en contextos mineros del Perú o en países comparables (Chile, México), publicadas en español o inglés. Se excluirán trabajos sin metodología clara, documentos sin DOI, sin datos cuantitativos o anteriores a 2020. Luego de eliminar duplicados y revisar títulos y resúmenes, se realizará la lectura completa de los artículos elegibles para extraer las variables clave.</w:t>
      </w:r>
    </w:p>
    <w:p w14:paraId="130C4DD2" w14:textId="77777777" w:rsidR="00FE58DB" w:rsidRDefault="00FE58DB" w:rsidP="00FA5490">
      <w:pPr>
        <w:spacing w:after="0" w:line="240" w:lineRule="auto"/>
        <w:jc w:val="both"/>
        <w:rPr>
          <w:rFonts w:ascii="Century Gothic" w:hAnsi="Century Gothic" w:cs="Arial"/>
          <w:b/>
          <w:bCs/>
          <w:color w:val="000000" w:themeColor="text1"/>
        </w:rPr>
      </w:pPr>
    </w:p>
    <w:p w14:paraId="0263CD32" w14:textId="41BD37A3" w:rsidR="00FA5490" w:rsidRPr="002C5594" w:rsidRDefault="00FA5490" w:rsidP="00FA5490">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t>Metodología</w:t>
      </w:r>
    </w:p>
    <w:p w14:paraId="4EEAB807" w14:textId="06D0F6CD" w:rsidR="00C80F8B" w:rsidRPr="00C80F8B" w:rsidRDefault="00C80F8B" w:rsidP="00C80F8B">
      <w:pPr>
        <w:spacing w:after="0" w:line="240" w:lineRule="auto"/>
        <w:ind w:firstLine="709"/>
        <w:jc w:val="both"/>
        <w:rPr>
          <w:rFonts w:ascii="Arial" w:hAnsi="Arial" w:cs="Arial"/>
          <w:color w:val="000000" w:themeColor="text1"/>
          <w:sz w:val="20"/>
          <w:szCs w:val="20"/>
        </w:rPr>
      </w:pPr>
      <w:r w:rsidRPr="00C80F8B">
        <w:rPr>
          <w:rFonts w:ascii="Arial" w:hAnsi="Arial" w:cs="Arial"/>
          <w:color w:val="000000" w:themeColor="text1"/>
          <w:sz w:val="20"/>
          <w:szCs w:val="20"/>
        </w:rPr>
        <w:t>Para llevar a cabo esta investigación de revisión sistemática, se aplicó el método PRISMA (Preferred Reporting Items for Systematic Reviews and Meta-Analyses), con el objetivo de garantizar la transparencia y una adecuada selección de los estudios relacionados.</w:t>
      </w:r>
    </w:p>
    <w:p w14:paraId="5619A9C2" w14:textId="1DA2C86D" w:rsidR="00FA5490" w:rsidRDefault="00C80F8B" w:rsidP="00C80F8B">
      <w:pPr>
        <w:spacing w:after="0" w:line="240" w:lineRule="auto"/>
        <w:ind w:firstLine="709"/>
        <w:jc w:val="both"/>
        <w:rPr>
          <w:rFonts w:ascii="Arial" w:hAnsi="Arial" w:cs="Arial"/>
          <w:color w:val="000000" w:themeColor="text1"/>
          <w:sz w:val="20"/>
          <w:szCs w:val="20"/>
        </w:rPr>
      </w:pPr>
      <w:r w:rsidRPr="00C80F8B">
        <w:rPr>
          <w:rFonts w:ascii="Arial" w:hAnsi="Arial" w:cs="Arial"/>
          <w:color w:val="000000" w:themeColor="text1"/>
          <w:sz w:val="20"/>
          <w:szCs w:val="20"/>
        </w:rPr>
        <w:t>El proceso de revisión se desarrolló siguiendo las directrices establecidas por PRISMA, comenzando con la elaboración de un protocolo detallado que abarcó la identificación de la pregunta de investigación, la estrategia de búsqueda, los criterios de inclusión y exclusión, la extracción de datos y la síntesis de resultados. Este enfoque sistemático permitió asegurar la precisión y coherencia en cada etapa del proceso.</w:t>
      </w:r>
    </w:p>
    <w:p w14:paraId="7D1E5301" w14:textId="77777777" w:rsidR="00C80F8B" w:rsidRDefault="00C80F8B" w:rsidP="00FA5490">
      <w:pPr>
        <w:spacing w:after="0" w:line="240" w:lineRule="auto"/>
        <w:jc w:val="both"/>
        <w:rPr>
          <w:rFonts w:ascii="Arial" w:eastAsia="Arial" w:hAnsi="Arial" w:cs="Arial"/>
          <w:b/>
          <w:sz w:val="20"/>
          <w:szCs w:val="24"/>
        </w:rPr>
      </w:pPr>
    </w:p>
    <w:p w14:paraId="4AA1A44F" w14:textId="7AC89C3A" w:rsidR="00FA5490" w:rsidRPr="00FA5490" w:rsidRDefault="00FA5490" w:rsidP="00FA5490">
      <w:pPr>
        <w:spacing w:after="0" w:line="240" w:lineRule="auto"/>
        <w:jc w:val="both"/>
        <w:rPr>
          <w:rFonts w:ascii="Arial" w:eastAsia="Arial" w:hAnsi="Arial" w:cs="Arial"/>
          <w:b/>
          <w:sz w:val="20"/>
          <w:szCs w:val="24"/>
        </w:rPr>
      </w:pPr>
      <w:r w:rsidRPr="00FA5490">
        <w:rPr>
          <w:rFonts w:ascii="Arial" w:eastAsia="Arial" w:hAnsi="Arial" w:cs="Arial"/>
          <w:b/>
          <w:sz w:val="20"/>
          <w:szCs w:val="24"/>
        </w:rPr>
        <w:t>Figura 1</w:t>
      </w:r>
    </w:p>
    <w:p w14:paraId="36293C99" w14:textId="640E82F4" w:rsidR="00FA5490" w:rsidRDefault="00FA5490" w:rsidP="00FA5490">
      <w:pPr>
        <w:spacing w:after="0" w:line="240" w:lineRule="auto"/>
        <w:jc w:val="both"/>
        <w:rPr>
          <w:rFonts w:ascii="Arial" w:eastAsia="Arial" w:hAnsi="Arial" w:cs="Arial"/>
          <w:i/>
          <w:sz w:val="20"/>
          <w:szCs w:val="24"/>
        </w:rPr>
      </w:pPr>
      <w:r w:rsidRPr="00FA5490">
        <w:rPr>
          <w:rFonts w:ascii="Arial" w:eastAsia="Arial" w:hAnsi="Arial" w:cs="Arial"/>
          <w:i/>
          <w:sz w:val="20"/>
          <w:szCs w:val="24"/>
        </w:rPr>
        <w:t>Flujograma del proceso de selección de los estudios según PRISMA</w:t>
      </w:r>
    </w:p>
    <w:p w14:paraId="1BC2BEEF" w14:textId="77777777" w:rsidR="00FA5490" w:rsidRPr="00FA5490" w:rsidRDefault="00FA5490" w:rsidP="00FA5490">
      <w:pPr>
        <w:spacing w:after="0" w:line="240" w:lineRule="auto"/>
        <w:jc w:val="both"/>
        <w:rPr>
          <w:rFonts w:ascii="Arial" w:eastAsia="Arial" w:hAnsi="Arial" w:cs="Arial"/>
          <w:i/>
          <w:sz w:val="20"/>
          <w:szCs w:val="24"/>
        </w:rPr>
      </w:pPr>
    </w:p>
    <w:p w14:paraId="67068183" w14:textId="77777777" w:rsidR="00FA5490" w:rsidRDefault="00FA5490" w:rsidP="00FA5490">
      <w:pPr>
        <w:spacing w:after="0" w:line="240" w:lineRule="auto"/>
        <w:jc w:val="center"/>
        <w:rPr>
          <w:rFonts w:ascii="Arial" w:eastAsia="Arial" w:hAnsi="Arial" w:cs="Arial"/>
          <w:sz w:val="24"/>
          <w:szCs w:val="24"/>
        </w:rPr>
      </w:pPr>
      <w:r w:rsidRPr="00FA5490">
        <w:rPr>
          <w:rFonts w:ascii="Arial" w:eastAsia="Arial" w:hAnsi="Arial" w:cs="Arial"/>
          <w:noProof/>
          <w:sz w:val="20"/>
          <w:szCs w:val="24"/>
          <w:lang w:val="en-US"/>
        </w:rPr>
        <w:drawing>
          <wp:inline distT="0" distB="0" distL="0" distR="0" wp14:anchorId="7A3F9C65" wp14:editId="755FCC6B">
            <wp:extent cx="4093944" cy="4041585"/>
            <wp:effectExtent l="0" t="0" r="0" b="0"/>
            <wp:docPr id="2134328627" name="image1.png" descr="Diagram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Diagrama&#10;&#10;El contenido generado por IA puede ser incorrecto."/>
                    <pic:cNvPicPr preferRelativeResize="0"/>
                  </pic:nvPicPr>
                  <pic:blipFill>
                    <a:blip r:embed="rId18"/>
                    <a:srcRect/>
                    <a:stretch>
                      <a:fillRect/>
                    </a:stretch>
                  </pic:blipFill>
                  <pic:spPr>
                    <a:xfrm>
                      <a:off x="0" y="0"/>
                      <a:ext cx="4093944" cy="4041585"/>
                    </a:xfrm>
                    <a:prstGeom prst="rect">
                      <a:avLst/>
                    </a:prstGeom>
                    <a:ln/>
                  </pic:spPr>
                </pic:pic>
              </a:graphicData>
            </a:graphic>
          </wp:inline>
        </w:drawing>
      </w:r>
    </w:p>
    <w:p w14:paraId="7FA366D0" w14:textId="77777777" w:rsidR="00FA5490" w:rsidRDefault="00FA5490" w:rsidP="00FA5490">
      <w:pPr>
        <w:spacing w:after="0" w:line="240" w:lineRule="auto"/>
        <w:jc w:val="both"/>
        <w:rPr>
          <w:rFonts w:ascii="Arial" w:eastAsia="Arial" w:hAnsi="Arial" w:cs="Arial"/>
          <w:sz w:val="24"/>
          <w:szCs w:val="24"/>
        </w:rPr>
      </w:pPr>
    </w:p>
    <w:p w14:paraId="3AAC2CCE" w14:textId="77777777" w:rsidR="00FA5490" w:rsidRPr="00FA5490" w:rsidRDefault="00FA5490" w:rsidP="00FA5490">
      <w:pPr>
        <w:spacing w:after="0" w:line="240" w:lineRule="auto"/>
        <w:jc w:val="both"/>
        <w:rPr>
          <w:rFonts w:ascii="Arial" w:eastAsia="Arial" w:hAnsi="Arial" w:cs="Arial"/>
          <w:sz w:val="20"/>
          <w:szCs w:val="24"/>
        </w:rPr>
      </w:pPr>
      <w:r w:rsidRPr="00FA5490">
        <w:rPr>
          <w:rFonts w:ascii="Arial" w:eastAsia="Arial" w:hAnsi="Arial" w:cs="Arial"/>
          <w:b/>
          <w:i/>
          <w:sz w:val="20"/>
          <w:szCs w:val="24"/>
        </w:rPr>
        <w:t>Nota</w:t>
      </w:r>
      <w:r w:rsidRPr="00FA5490">
        <w:rPr>
          <w:rFonts w:ascii="Arial" w:eastAsia="Arial" w:hAnsi="Arial" w:cs="Arial"/>
          <w:b/>
          <w:sz w:val="20"/>
          <w:szCs w:val="24"/>
        </w:rPr>
        <w:t>:</w:t>
      </w:r>
      <w:r w:rsidRPr="00FA5490">
        <w:rPr>
          <w:rFonts w:ascii="Arial" w:eastAsia="Arial" w:hAnsi="Arial" w:cs="Arial"/>
          <w:sz w:val="20"/>
          <w:szCs w:val="24"/>
        </w:rPr>
        <w:t xml:space="preserve"> Creación propia.</w:t>
      </w:r>
    </w:p>
    <w:p w14:paraId="6E4EAEC6" w14:textId="0404B5A8" w:rsidR="00FA5490" w:rsidRDefault="00FA5490" w:rsidP="00FA5490">
      <w:pPr>
        <w:spacing w:after="0" w:line="240" w:lineRule="auto"/>
        <w:jc w:val="both"/>
        <w:rPr>
          <w:rFonts w:ascii="Arial" w:hAnsi="Arial" w:cs="Arial"/>
          <w:color w:val="000000" w:themeColor="text1"/>
          <w:sz w:val="20"/>
          <w:szCs w:val="20"/>
        </w:rPr>
      </w:pPr>
    </w:p>
    <w:p w14:paraId="602837A6" w14:textId="77777777" w:rsidR="00C80F8B" w:rsidRPr="00C80F8B" w:rsidRDefault="00C80F8B" w:rsidP="00C80F8B">
      <w:pPr>
        <w:spacing w:after="0" w:line="240" w:lineRule="auto"/>
        <w:ind w:firstLine="708"/>
        <w:jc w:val="both"/>
        <w:rPr>
          <w:rFonts w:ascii="Arial" w:hAnsi="Arial" w:cs="Arial"/>
          <w:color w:val="000000" w:themeColor="text1"/>
          <w:sz w:val="20"/>
          <w:szCs w:val="20"/>
        </w:rPr>
      </w:pPr>
      <w:r w:rsidRPr="00C80F8B">
        <w:rPr>
          <w:rFonts w:ascii="Arial" w:hAnsi="Arial" w:cs="Arial"/>
          <w:color w:val="000000" w:themeColor="text1"/>
          <w:sz w:val="20"/>
          <w:szCs w:val="20"/>
        </w:rPr>
        <w:t>La búsqueda de estudios relevantes se realizó en bases de datos académicas como PubMed, Scopus, ProQuest, Google Académico y ScienceDirect, utilizando una estrategia que combinó palabras clave como: “IoT”, “Internet of Things”, “Water management” OR “Gestión del agua”, “Mining” OR “Minería” y “Sustainability” OR “Sostenibilidad”. Se incluyeron estudios publicados en los últimos ocho años que abordaran la integración de IoT y su impacto en la gestión sostenible del agua.</w:t>
      </w:r>
    </w:p>
    <w:p w14:paraId="4B4ED594" w14:textId="77777777" w:rsidR="00C80F8B" w:rsidRPr="00C80F8B" w:rsidRDefault="00C80F8B" w:rsidP="00C80F8B">
      <w:pPr>
        <w:spacing w:after="0" w:line="240" w:lineRule="auto"/>
        <w:ind w:firstLine="708"/>
        <w:jc w:val="both"/>
        <w:rPr>
          <w:rFonts w:ascii="Arial" w:hAnsi="Arial" w:cs="Arial"/>
          <w:color w:val="000000" w:themeColor="text1"/>
          <w:sz w:val="20"/>
          <w:szCs w:val="20"/>
        </w:rPr>
      </w:pPr>
      <w:r w:rsidRPr="00C80F8B">
        <w:rPr>
          <w:rFonts w:ascii="Arial" w:hAnsi="Arial" w:cs="Arial"/>
          <w:color w:val="000000" w:themeColor="text1"/>
          <w:sz w:val="20"/>
          <w:szCs w:val="20"/>
        </w:rPr>
        <w:t>Los criterios de inclusión consideraron estudios publicados en los últimos ocho años que investigaran la aplicación del IoT en la gestión sostenible del agua en la industria minera. Asimismo, se seleccionaron únicamente aquellos estudios que mostraron resultados claros sobre el impacto de esta tecnología en dicho sector.</w:t>
      </w:r>
    </w:p>
    <w:p w14:paraId="687871B5" w14:textId="77777777" w:rsidR="00C80F8B" w:rsidRPr="00C80F8B" w:rsidRDefault="00C80F8B" w:rsidP="00C80F8B">
      <w:pPr>
        <w:spacing w:after="0" w:line="240" w:lineRule="auto"/>
        <w:ind w:firstLine="708"/>
        <w:jc w:val="both"/>
        <w:rPr>
          <w:rFonts w:ascii="Arial" w:hAnsi="Arial" w:cs="Arial"/>
          <w:color w:val="000000" w:themeColor="text1"/>
          <w:sz w:val="20"/>
          <w:szCs w:val="20"/>
        </w:rPr>
      </w:pPr>
      <w:r w:rsidRPr="00C80F8B">
        <w:rPr>
          <w:rFonts w:ascii="Arial" w:hAnsi="Arial" w:cs="Arial"/>
          <w:color w:val="000000" w:themeColor="text1"/>
          <w:sz w:val="20"/>
          <w:szCs w:val="20"/>
        </w:rPr>
        <w:t>En cuanto a los criterios de exclusión, se descartaron estudios que no estuvieran directamente relacionados con la integración del IoT en el contexto minero, así como aquellos que no presentaban resultados concretos o no cumplían con estándares metodológicos adecuados para una revisión sistemática.</w:t>
      </w:r>
    </w:p>
    <w:p w14:paraId="6FAF138E" w14:textId="77777777" w:rsidR="00C80F8B" w:rsidRPr="00C80F8B" w:rsidRDefault="00C80F8B" w:rsidP="00C80F8B">
      <w:pPr>
        <w:spacing w:after="0" w:line="240" w:lineRule="auto"/>
        <w:ind w:firstLine="708"/>
        <w:jc w:val="both"/>
        <w:rPr>
          <w:rFonts w:ascii="Arial" w:hAnsi="Arial" w:cs="Arial"/>
          <w:color w:val="000000" w:themeColor="text1"/>
          <w:sz w:val="20"/>
          <w:szCs w:val="20"/>
        </w:rPr>
      </w:pPr>
    </w:p>
    <w:p w14:paraId="2A8E1085" w14:textId="77777777" w:rsidR="00C80F8B" w:rsidRPr="00F80322" w:rsidRDefault="00C80F8B" w:rsidP="00F80322">
      <w:pPr>
        <w:spacing w:after="0" w:line="240" w:lineRule="auto"/>
        <w:ind w:firstLine="360"/>
        <w:jc w:val="both"/>
        <w:rPr>
          <w:rFonts w:ascii="Arial" w:hAnsi="Arial" w:cs="Arial"/>
          <w:color w:val="000000" w:themeColor="text1"/>
          <w:sz w:val="20"/>
          <w:szCs w:val="20"/>
        </w:rPr>
      </w:pPr>
      <w:r w:rsidRPr="00F80322">
        <w:rPr>
          <w:rFonts w:ascii="Arial" w:hAnsi="Arial" w:cs="Arial"/>
          <w:color w:val="000000" w:themeColor="text1"/>
          <w:sz w:val="20"/>
          <w:szCs w:val="20"/>
        </w:rPr>
        <w:t>La revisión se estructuró en cuatro etapas conforme al protocolo PRISMA:</w:t>
      </w:r>
    </w:p>
    <w:p w14:paraId="271C8161" w14:textId="77777777" w:rsidR="00C80F8B" w:rsidRPr="00C80F8B" w:rsidRDefault="00C80F8B" w:rsidP="00C80F8B">
      <w:pPr>
        <w:spacing w:after="0" w:line="240" w:lineRule="auto"/>
        <w:ind w:firstLine="708"/>
        <w:jc w:val="both"/>
        <w:rPr>
          <w:rFonts w:ascii="Arial" w:hAnsi="Arial" w:cs="Arial"/>
          <w:color w:val="000000" w:themeColor="text1"/>
          <w:sz w:val="20"/>
          <w:szCs w:val="20"/>
        </w:rPr>
      </w:pPr>
    </w:p>
    <w:p w14:paraId="765FBBBE" w14:textId="77777777" w:rsidR="00C80F8B" w:rsidRDefault="00C80F8B" w:rsidP="00C80F8B">
      <w:pPr>
        <w:pStyle w:val="ListParagraph"/>
        <w:numPr>
          <w:ilvl w:val="0"/>
          <w:numId w:val="1"/>
        </w:numPr>
        <w:spacing w:after="0" w:line="240" w:lineRule="auto"/>
        <w:jc w:val="both"/>
        <w:rPr>
          <w:rFonts w:ascii="Arial" w:hAnsi="Arial" w:cs="Arial"/>
          <w:color w:val="000000" w:themeColor="text1"/>
          <w:sz w:val="20"/>
          <w:szCs w:val="20"/>
        </w:rPr>
      </w:pPr>
      <w:r w:rsidRPr="00C80F8B">
        <w:rPr>
          <w:rFonts w:ascii="Arial" w:hAnsi="Arial" w:cs="Arial"/>
          <w:b/>
          <w:color w:val="000000" w:themeColor="text1"/>
          <w:sz w:val="20"/>
          <w:szCs w:val="20"/>
        </w:rPr>
        <w:t>Identificación:</w:t>
      </w:r>
      <w:r w:rsidRPr="00C80F8B">
        <w:rPr>
          <w:rFonts w:ascii="Arial" w:hAnsi="Arial" w:cs="Arial"/>
          <w:color w:val="000000" w:themeColor="text1"/>
          <w:sz w:val="20"/>
          <w:szCs w:val="20"/>
        </w:rPr>
        <w:t xml:space="preserve"> Se realizó una búsqueda sistemática en las bases de datos mencionadas, identificando </w:t>
      </w:r>
    </w:p>
    <w:p w14:paraId="0B9C2F86" w14:textId="1C39F459" w:rsidR="00C80F8B" w:rsidRPr="00C80F8B" w:rsidRDefault="00C80F8B" w:rsidP="00C80F8B">
      <w:pPr>
        <w:spacing w:after="0" w:line="240" w:lineRule="auto"/>
        <w:jc w:val="both"/>
        <w:rPr>
          <w:rFonts w:ascii="Arial" w:hAnsi="Arial" w:cs="Arial"/>
          <w:color w:val="000000" w:themeColor="text1"/>
          <w:sz w:val="20"/>
          <w:szCs w:val="20"/>
        </w:rPr>
      </w:pPr>
      <w:r w:rsidRPr="00C80F8B">
        <w:rPr>
          <w:rFonts w:ascii="Arial" w:hAnsi="Arial" w:cs="Arial"/>
          <w:color w:val="000000" w:themeColor="text1"/>
          <w:sz w:val="20"/>
          <w:szCs w:val="20"/>
        </w:rPr>
        <w:t>63 documentos mediante el uso de los términos clave en títulos, resúmenes y palabras clave.</w:t>
      </w:r>
    </w:p>
    <w:p w14:paraId="4732DA76" w14:textId="77777777" w:rsidR="00C80F8B" w:rsidRDefault="00C80F8B" w:rsidP="00C80F8B">
      <w:pPr>
        <w:pStyle w:val="ListParagraph"/>
        <w:numPr>
          <w:ilvl w:val="0"/>
          <w:numId w:val="1"/>
        </w:numPr>
        <w:spacing w:after="0" w:line="240" w:lineRule="auto"/>
        <w:jc w:val="both"/>
        <w:rPr>
          <w:rFonts w:ascii="Arial" w:hAnsi="Arial" w:cs="Arial"/>
          <w:color w:val="000000" w:themeColor="text1"/>
          <w:sz w:val="20"/>
          <w:szCs w:val="20"/>
        </w:rPr>
      </w:pPr>
      <w:r w:rsidRPr="00C80F8B">
        <w:rPr>
          <w:rFonts w:ascii="Arial" w:hAnsi="Arial" w:cs="Arial"/>
          <w:b/>
          <w:color w:val="000000" w:themeColor="text1"/>
          <w:sz w:val="20"/>
          <w:szCs w:val="20"/>
        </w:rPr>
        <w:t>Cribado:</w:t>
      </w:r>
      <w:r w:rsidRPr="00C80F8B">
        <w:rPr>
          <w:rFonts w:ascii="Arial" w:hAnsi="Arial" w:cs="Arial"/>
          <w:color w:val="000000" w:themeColor="text1"/>
          <w:sz w:val="20"/>
          <w:szCs w:val="20"/>
        </w:rPr>
        <w:t xml:space="preserve"> Se eliminaron 16 artículos duplicados y otros 7 que no se encontraban dentro del rango temporal </w:t>
      </w:r>
    </w:p>
    <w:p w14:paraId="4EF436BD" w14:textId="208270EC" w:rsidR="00C80F8B" w:rsidRPr="00C80F8B" w:rsidRDefault="00C80F8B" w:rsidP="00C80F8B">
      <w:pPr>
        <w:spacing w:after="0" w:line="240" w:lineRule="auto"/>
        <w:jc w:val="both"/>
        <w:rPr>
          <w:rFonts w:ascii="Arial" w:hAnsi="Arial" w:cs="Arial"/>
          <w:color w:val="000000" w:themeColor="text1"/>
          <w:sz w:val="20"/>
          <w:szCs w:val="20"/>
        </w:rPr>
      </w:pPr>
      <w:r w:rsidRPr="00C80F8B">
        <w:rPr>
          <w:rFonts w:ascii="Arial" w:hAnsi="Arial" w:cs="Arial"/>
          <w:color w:val="000000" w:themeColor="text1"/>
          <w:sz w:val="20"/>
          <w:szCs w:val="20"/>
        </w:rPr>
        <w:t>establecido (últimos cinco años), quedando 40 estudios relevantes.</w:t>
      </w:r>
    </w:p>
    <w:p w14:paraId="6FEF560E" w14:textId="77777777" w:rsidR="00C80F8B" w:rsidRDefault="00C80F8B" w:rsidP="00C80F8B">
      <w:pPr>
        <w:pStyle w:val="ListParagraph"/>
        <w:numPr>
          <w:ilvl w:val="0"/>
          <w:numId w:val="1"/>
        </w:numPr>
        <w:spacing w:after="0" w:line="240" w:lineRule="auto"/>
        <w:jc w:val="both"/>
        <w:rPr>
          <w:rFonts w:ascii="Arial" w:hAnsi="Arial" w:cs="Arial"/>
          <w:color w:val="000000" w:themeColor="text1"/>
          <w:sz w:val="20"/>
          <w:szCs w:val="20"/>
        </w:rPr>
      </w:pPr>
      <w:r w:rsidRPr="00C80F8B">
        <w:rPr>
          <w:rFonts w:ascii="Arial" w:hAnsi="Arial" w:cs="Arial"/>
          <w:b/>
          <w:color w:val="000000" w:themeColor="text1"/>
          <w:sz w:val="20"/>
          <w:szCs w:val="20"/>
        </w:rPr>
        <w:t>Elegibilidad:</w:t>
      </w:r>
      <w:r w:rsidRPr="00C80F8B">
        <w:rPr>
          <w:rFonts w:ascii="Arial" w:hAnsi="Arial" w:cs="Arial"/>
          <w:color w:val="000000" w:themeColor="text1"/>
          <w:sz w:val="20"/>
          <w:szCs w:val="20"/>
        </w:rPr>
        <w:t xml:space="preserve"> Se revisaron títulos, resúmenes y resultados, excluyéndose 12 artículos que no se </w:t>
      </w:r>
    </w:p>
    <w:p w14:paraId="2C52D57B" w14:textId="2253479F" w:rsidR="00C80F8B" w:rsidRPr="00C80F8B" w:rsidRDefault="00C80F8B" w:rsidP="00C80F8B">
      <w:pPr>
        <w:spacing w:after="0" w:line="240" w:lineRule="auto"/>
        <w:jc w:val="both"/>
        <w:rPr>
          <w:rFonts w:ascii="Arial" w:hAnsi="Arial" w:cs="Arial"/>
          <w:color w:val="000000" w:themeColor="text1"/>
          <w:sz w:val="20"/>
          <w:szCs w:val="20"/>
        </w:rPr>
      </w:pPr>
      <w:r w:rsidRPr="00C80F8B">
        <w:rPr>
          <w:rFonts w:ascii="Arial" w:hAnsi="Arial" w:cs="Arial"/>
          <w:color w:val="000000" w:themeColor="text1"/>
          <w:sz w:val="20"/>
          <w:szCs w:val="20"/>
        </w:rPr>
        <w:t>ajustaban a los objetivos de la investigación, reduciendo el conjunto a 28 documentos.</w:t>
      </w:r>
    </w:p>
    <w:p w14:paraId="73B5C39E" w14:textId="77777777" w:rsidR="00C80F8B" w:rsidRDefault="00C80F8B" w:rsidP="00C80F8B">
      <w:pPr>
        <w:pStyle w:val="ListParagraph"/>
        <w:numPr>
          <w:ilvl w:val="0"/>
          <w:numId w:val="1"/>
        </w:numPr>
        <w:spacing w:after="0" w:line="240" w:lineRule="auto"/>
        <w:jc w:val="both"/>
        <w:rPr>
          <w:rFonts w:ascii="Arial" w:hAnsi="Arial" w:cs="Arial"/>
          <w:color w:val="000000" w:themeColor="text1"/>
          <w:sz w:val="20"/>
          <w:szCs w:val="20"/>
        </w:rPr>
      </w:pPr>
      <w:r w:rsidRPr="00C80F8B">
        <w:rPr>
          <w:rFonts w:ascii="Arial" w:hAnsi="Arial" w:cs="Arial"/>
          <w:b/>
          <w:color w:val="000000" w:themeColor="text1"/>
          <w:sz w:val="20"/>
          <w:szCs w:val="20"/>
        </w:rPr>
        <w:t>Inclusión definitiva:</w:t>
      </w:r>
      <w:r w:rsidRPr="00C80F8B">
        <w:rPr>
          <w:rFonts w:ascii="Arial" w:hAnsi="Arial" w:cs="Arial"/>
          <w:color w:val="000000" w:themeColor="text1"/>
          <w:sz w:val="20"/>
          <w:szCs w:val="20"/>
        </w:rPr>
        <w:t xml:space="preserve"> Se descartaron 8 artículos adicionales por no estar directamente relacionados con </w:t>
      </w:r>
    </w:p>
    <w:p w14:paraId="2B02740C" w14:textId="08D1CD18" w:rsidR="00FA5490" w:rsidRPr="00C80F8B" w:rsidRDefault="00C80F8B" w:rsidP="00C80F8B">
      <w:pPr>
        <w:spacing w:after="0" w:line="240" w:lineRule="auto"/>
        <w:jc w:val="both"/>
        <w:rPr>
          <w:rFonts w:ascii="Arial" w:hAnsi="Arial" w:cs="Arial"/>
          <w:color w:val="000000" w:themeColor="text1"/>
          <w:sz w:val="20"/>
          <w:szCs w:val="20"/>
        </w:rPr>
      </w:pPr>
      <w:r w:rsidRPr="00C80F8B">
        <w:rPr>
          <w:rFonts w:ascii="Arial" w:hAnsi="Arial" w:cs="Arial"/>
          <w:color w:val="000000" w:themeColor="text1"/>
          <w:sz w:val="20"/>
          <w:szCs w:val="20"/>
        </w:rPr>
        <w:t>el tema, el problema o los objetivos de estudio, o por no contar con un DOI válido, resultando en un total de 20 artículos incluidos en el análisis final.</w:t>
      </w:r>
    </w:p>
    <w:p w14:paraId="51896603" w14:textId="77777777" w:rsidR="00C80F8B" w:rsidRDefault="00C80F8B" w:rsidP="00FA5490">
      <w:pPr>
        <w:spacing w:after="0" w:line="240" w:lineRule="auto"/>
        <w:rPr>
          <w:rFonts w:ascii="Arial" w:eastAsia="Arial" w:hAnsi="Arial" w:cs="Arial"/>
          <w:b/>
          <w:sz w:val="20"/>
          <w:szCs w:val="24"/>
        </w:rPr>
      </w:pPr>
    </w:p>
    <w:p w14:paraId="4CE38471" w14:textId="0E28E297" w:rsidR="00FA5490" w:rsidRPr="00FA5490" w:rsidRDefault="00FA5490" w:rsidP="00FA5490">
      <w:pPr>
        <w:spacing w:after="0" w:line="240" w:lineRule="auto"/>
        <w:rPr>
          <w:rFonts w:ascii="Arial" w:eastAsia="Arial" w:hAnsi="Arial" w:cs="Arial"/>
          <w:b/>
          <w:sz w:val="20"/>
          <w:szCs w:val="24"/>
        </w:rPr>
      </w:pPr>
      <w:r w:rsidRPr="00FA5490">
        <w:rPr>
          <w:rFonts w:ascii="Arial" w:eastAsia="Arial" w:hAnsi="Arial" w:cs="Arial"/>
          <w:b/>
          <w:sz w:val="20"/>
          <w:szCs w:val="24"/>
        </w:rPr>
        <w:t>Tabla 1</w:t>
      </w:r>
    </w:p>
    <w:p w14:paraId="04FBFF23" w14:textId="77777777" w:rsidR="00FA5490" w:rsidRDefault="00FA5490" w:rsidP="00FA5490">
      <w:pPr>
        <w:spacing w:after="0" w:line="240" w:lineRule="auto"/>
        <w:jc w:val="both"/>
        <w:rPr>
          <w:rFonts w:ascii="Arial" w:eastAsia="Arial" w:hAnsi="Arial" w:cs="Arial"/>
          <w:i/>
          <w:sz w:val="20"/>
          <w:szCs w:val="24"/>
        </w:rPr>
      </w:pPr>
      <w:r w:rsidRPr="00FA5490">
        <w:rPr>
          <w:rFonts w:ascii="Arial" w:eastAsia="Arial" w:hAnsi="Arial" w:cs="Arial"/>
          <w:i/>
          <w:sz w:val="20"/>
          <w:szCs w:val="24"/>
        </w:rPr>
        <w:t>Artículos relacionados con los ejes temáticos</w:t>
      </w:r>
    </w:p>
    <w:p w14:paraId="4F5CB65F" w14:textId="4B152367" w:rsidR="00FA5490" w:rsidRPr="00FA5490" w:rsidRDefault="00FA5490" w:rsidP="00FA5490">
      <w:pPr>
        <w:spacing w:after="0" w:line="240" w:lineRule="auto"/>
        <w:jc w:val="both"/>
        <w:rPr>
          <w:rFonts w:ascii="Arial" w:eastAsia="Arial" w:hAnsi="Arial" w:cs="Arial"/>
          <w:i/>
          <w:sz w:val="20"/>
          <w:szCs w:val="24"/>
        </w:rPr>
      </w:pPr>
      <w:r w:rsidRPr="00FA5490">
        <w:rPr>
          <w:rFonts w:ascii="Arial" w:eastAsia="Arial" w:hAnsi="Arial" w:cs="Arial"/>
          <w:i/>
          <w:sz w:val="20"/>
          <w:szCs w:val="24"/>
        </w:rPr>
        <w:t xml:space="preserve"> </w:t>
      </w:r>
    </w:p>
    <w:tbl>
      <w:tblPr>
        <w:tblW w:w="9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56"/>
        <w:gridCol w:w="3803"/>
        <w:gridCol w:w="3201"/>
      </w:tblGrid>
      <w:tr w:rsidR="00FA5490" w:rsidRPr="00FA5490" w14:paraId="68E10FBC" w14:textId="77777777" w:rsidTr="00FA5490">
        <w:trPr>
          <w:jc w:val="center"/>
        </w:trPr>
        <w:tc>
          <w:tcPr>
            <w:tcW w:w="2056" w:type="dxa"/>
            <w:shd w:val="clear" w:color="auto" w:fill="B4C6E7" w:themeFill="accent1" w:themeFillTint="66"/>
          </w:tcPr>
          <w:p w14:paraId="32CD33C1" w14:textId="77777777" w:rsidR="00FA5490" w:rsidRPr="00FA5490" w:rsidRDefault="00FA5490" w:rsidP="00FA5490">
            <w:pPr>
              <w:spacing w:after="0" w:line="240" w:lineRule="auto"/>
              <w:jc w:val="center"/>
              <w:rPr>
                <w:rFonts w:ascii="Arial" w:eastAsia="Arial" w:hAnsi="Arial" w:cs="Arial"/>
                <w:b/>
                <w:sz w:val="20"/>
                <w:szCs w:val="24"/>
              </w:rPr>
            </w:pPr>
            <w:r w:rsidRPr="00FA5490">
              <w:rPr>
                <w:rFonts w:ascii="Arial" w:eastAsia="Arial" w:hAnsi="Arial" w:cs="Arial"/>
                <w:b/>
                <w:sz w:val="20"/>
                <w:szCs w:val="24"/>
              </w:rPr>
              <w:t>Eje temático</w:t>
            </w:r>
          </w:p>
        </w:tc>
        <w:tc>
          <w:tcPr>
            <w:tcW w:w="3803" w:type="dxa"/>
            <w:shd w:val="clear" w:color="auto" w:fill="B4C6E7" w:themeFill="accent1" w:themeFillTint="66"/>
          </w:tcPr>
          <w:p w14:paraId="05473368" w14:textId="77777777" w:rsidR="00FA5490" w:rsidRPr="00FA5490" w:rsidRDefault="00FA5490" w:rsidP="00FA5490">
            <w:pPr>
              <w:spacing w:after="0" w:line="240" w:lineRule="auto"/>
              <w:jc w:val="center"/>
              <w:rPr>
                <w:rFonts w:ascii="Arial" w:eastAsia="Arial" w:hAnsi="Arial" w:cs="Arial"/>
                <w:b/>
                <w:sz w:val="20"/>
                <w:szCs w:val="24"/>
              </w:rPr>
            </w:pPr>
            <w:r w:rsidRPr="00FA5490">
              <w:rPr>
                <w:rFonts w:ascii="Arial" w:eastAsia="Arial" w:hAnsi="Arial" w:cs="Arial"/>
                <w:b/>
                <w:sz w:val="20"/>
                <w:szCs w:val="24"/>
              </w:rPr>
              <w:t>Descripción</w:t>
            </w:r>
          </w:p>
        </w:tc>
        <w:tc>
          <w:tcPr>
            <w:tcW w:w="3201" w:type="dxa"/>
            <w:shd w:val="clear" w:color="auto" w:fill="B4C6E7" w:themeFill="accent1" w:themeFillTint="66"/>
          </w:tcPr>
          <w:p w14:paraId="178BCA6A" w14:textId="77777777" w:rsidR="00FA5490" w:rsidRPr="00FA5490" w:rsidRDefault="00FA5490" w:rsidP="00FA5490">
            <w:pPr>
              <w:spacing w:after="0" w:line="240" w:lineRule="auto"/>
              <w:jc w:val="center"/>
              <w:rPr>
                <w:rFonts w:ascii="Arial" w:eastAsia="Arial" w:hAnsi="Arial" w:cs="Arial"/>
                <w:b/>
                <w:sz w:val="20"/>
                <w:szCs w:val="24"/>
              </w:rPr>
            </w:pPr>
            <w:r w:rsidRPr="00FA5490">
              <w:rPr>
                <w:rFonts w:ascii="Arial" w:eastAsia="Arial" w:hAnsi="Arial" w:cs="Arial"/>
                <w:b/>
                <w:sz w:val="20"/>
                <w:szCs w:val="24"/>
              </w:rPr>
              <w:t>Estudios relacionados</w:t>
            </w:r>
          </w:p>
        </w:tc>
      </w:tr>
      <w:tr w:rsidR="00FA5490" w:rsidRPr="00FA5490" w14:paraId="166FD768" w14:textId="77777777" w:rsidTr="00FA5490">
        <w:trPr>
          <w:jc w:val="center"/>
        </w:trPr>
        <w:tc>
          <w:tcPr>
            <w:tcW w:w="2056" w:type="dxa"/>
          </w:tcPr>
          <w:p w14:paraId="1D25873A" w14:textId="77777777" w:rsidR="00FA5490" w:rsidRPr="00FA5490" w:rsidRDefault="00FA5490" w:rsidP="00FA5490">
            <w:pPr>
              <w:spacing w:after="0" w:line="240" w:lineRule="auto"/>
              <w:rPr>
                <w:rFonts w:eastAsia="Arial" w:cs="Calibri"/>
                <w:sz w:val="20"/>
                <w:szCs w:val="24"/>
              </w:rPr>
            </w:pPr>
            <w:r w:rsidRPr="00FA5490">
              <w:rPr>
                <w:rFonts w:eastAsia="Arial" w:cs="Calibri"/>
                <w:sz w:val="20"/>
                <w:szCs w:val="24"/>
              </w:rPr>
              <w:t>1. Tecnologías y metodologías IoT</w:t>
            </w:r>
          </w:p>
        </w:tc>
        <w:tc>
          <w:tcPr>
            <w:tcW w:w="3803" w:type="dxa"/>
          </w:tcPr>
          <w:p w14:paraId="43C16D13" w14:textId="77777777" w:rsidR="00FA5490" w:rsidRPr="00FA5490" w:rsidRDefault="00FA5490" w:rsidP="00FA5490">
            <w:pPr>
              <w:spacing w:after="0" w:line="240" w:lineRule="auto"/>
              <w:rPr>
                <w:rFonts w:eastAsia="Arial" w:cs="Calibri"/>
                <w:sz w:val="20"/>
                <w:szCs w:val="24"/>
              </w:rPr>
            </w:pPr>
            <w:r w:rsidRPr="00FA5490">
              <w:rPr>
                <w:rFonts w:eastAsia="Arial" w:cs="Calibri"/>
                <w:sz w:val="20"/>
                <w:szCs w:val="24"/>
              </w:rPr>
              <w:t>Aplicaciones de sensores, microcontroladores, plataformas en la nube y sistemas de monitoreo para el control hídrico.</w:t>
            </w:r>
          </w:p>
        </w:tc>
        <w:tc>
          <w:tcPr>
            <w:tcW w:w="3201" w:type="dxa"/>
          </w:tcPr>
          <w:p w14:paraId="6E8243CC" w14:textId="77777777" w:rsidR="00FA5490" w:rsidRPr="00FA5490" w:rsidRDefault="00FA5490" w:rsidP="00FA5490">
            <w:pPr>
              <w:spacing w:after="0" w:line="240" w:lineRule="auto"/>
              <w:rPr>
                <w:rFonts w:eastAsia="Arial" w:cs="Calibri"/>
                <w:sz w:val="20"/>
                <w:szCs w:val="24"/>
                <w:lang w:val="en-US"/>
              </w:rPr>
            </w:pPr>
            <w:r w:rsidRPr="00FA5490">
              <w:rPr>
                <w:rFonts w:eastAsia="Arial" w:cs="Calibri"/>
                <w:sz w:val="20"/>
                <w:szCs w:val="24"/>
                <w:lang w:val="en-US"/>
              </w:rPr>
              <w:t>Alshami (2024), Bo (2022, 2023), Choubey (2022), Fang (2022), Puneeth (2024), Vallejo (2024), Nguyen (2022), Shaikh (2023)</w:t>
            </w:r>
          </w:p>
        </w:tc>
      </w:tr>
      <w:tr w:rsidR="00FA5490" w:rsidRPr="00FA5490" w14:paraId="1A67E7D3" w14:textId="77777777" w:rsidTr="00FA5490">
        <w:trPr>
          <w:jc w:val="center"/>
        </w:trPr>
        <w:tc>
          <w:tcPr>
            <w:tcW w:w="2056" w:type="dxa"/>
          </w:tcPr>
          <w:p w14:paraId="5BA772A4" w14:textId="77777777" w:rsidR="00FA5490" w:rsidRPr="00FA5490" w:rsidRDefault="00FA5490" w:rsidP="00FA5490">
            <w:pPr>
              <w:spacing w:after="0" w:line="240" w:lineRule="auto"/>
              <w:rPr>
                <w:rFonts w:eastAsia="Arial" w:cs="Calibri"/>
                <w:sz w:val="20"/>
                <w:szCs w:val="24"/>
              </w:rPr>
            </w:pPr>
            <w:r w:rsidRPr="00FA5490">
              <w:rPr>
                <w:rFonts w:eastAsia="Arial" w:cs="Calibri"/>
                <w:sz w:val="20"/>
                <w:szCs w:val="24"/>
              </w:rPr>
              <w:t>2. Impacto en la gestión sostenible del agua</w:t>
            </w:r>
          </w:p>
        </w:tc>
        <w:tc>
          <w:tcPr>
            <w:tcW w:w="3803" w:type="dxa"/>
          </w:tcPr>
          <w:p w14:paraId="41E5F0D1" w14:textId="77777777" w:rsidR="00FA5490" w:rsidRPr="00FA5490" w:rsidRDefault="00FA5490" w:rsidP="00FA5490">
            <w:pPr>
              <w:spacing w:after="0" w:line="240" w:lineRule="auto"/>
              <w:rPr>
                <w:rFonts w:eastAsia="Arial" w:cs="Calibri"/>
                <w:sz w:val="20"/>
                <w:szCs w:val="24"/>
              </w:rPr>
            </w:pPr>
            <w:r w:rsidRPr="00FA5490">
              <w:rPr>
                <w:rFonts w:eastAsia="Arial" w:cs="Calibri"/>
                <w:sz w:val="20"/>
                <w:szCs w:val="24"/>
              </w:rPr>
              <w:t>Evaluación de los beneficios ambientales y operativos del IoT: eficiencia en consumo de agua, detección de fugas y reciclaje hídrico.</w:t>
            </w:r>
          </w:p>
        </w:tc>
        <w:tc>
          <w:tcPr>
            <w:tcW w:w="3201" w:type="dxa"/>
          </w:tcPr>
          <w:p w14:paraId="2D5469B4" w14:textId="77777777" w:rsidR="00FA5490" w:rsidRPr="00FA5490" w:rsidRDefault="00FA5490" w:rsidP="00FA5490">
            <w:pPr>
              <w:spacing w:after="0" w:line="240" w:lineRule="auto"/>
              <w:rPr>
                <w:rFonts w:eastAsia="Arial" w:cs="Calibri"/>
                <w:sz w:val="20"/>
                <w:szCs w:val="24"/>
                <w:lang w:val="en-US"/>
              </w:rPr>
            </w:pPr>
            <w:r w:rsidRPr="00FA5490">
              <w:rPr>
                <w:rFonts w:eastAsia="Arial" w:cs="Calibri"/>
                <w:sz w:val="20"/>
                <w:szCs w:val="24"/>
                <w:lang w:val="en-US"/>
              </w:rPr>
              <w:t>Monteiro (2022), Shafaei (2021), Bothe (2023), Huang (2023), Leuenberger (2021), Kagiso (2020), Zhenguo (2020)</w:t>
            </w:r>
          </w:p>
        </w:tc>
      </w:tr>
      <w:tr w:rsidR="00FA5490" w:rsidRPr="00FA5490" w14:paraId="055D760F" w14:textId="77777777" w:rsidTr="00FA5490">
        <w:trPr>
          <w:jc w:val="center"/>
        </w:trPr>
        <w:tc>
          <w:tcPr>
            <w:tcW w:w="2056" w:type="dxa"/>
          </w:tcPr>
          <w:p w14:paraId="1F353D6E" w14:textId="77777777" w:rsidR="00FA5490" w:rsidRPr="00FA5490" w:rsidRDefault="00FA5490" w:rsidP="00FA5490">
            <w:pPr>
              <w:spacing w:after="0" w:line="240" w:lineRule="auto"/>
              <w:rPr>
                <w:rFonts w:eastAsia="Arial" w:cs="Calibri"/>
                <w:sz w:val="20"/>
                <w:szCs w:val="24"/>
              </w:rPr>
            </w:pPr>
            <w:r w:rsidRPr="00FA5490">
              <w:rPr>
                <w:rFonts w:eastAsia="Arial" w:cs="Calibri"/>
                <w:sz w:val="20"/>
                <w:szCs w:val="24"/>
              </w:rPr>
              <w:t>3. Integración con tecnologías emergentes</w:t>
            </w:r>
          </w:p>
        </w:tc>
        <w:tc>
          <w:tcPr>
            <w:tcW w:w="3803" w:type="dxa"/>
          </w:tcPr>
          <w:p w14:paraId="58826C24" w14:textId="77777777" w:rsidR="00FA5490" w:rsidRPr="00FA5490" w:rsidRDefault="00FA5490" w:rsidP="00FA5490">
            <w:pPr>
              <w:spacing w:after="0" w:line="240" w:lineRule="auto"/>
              <w:rPr>
                <w:rFonts w:eastAsia="Arial" w:cs="Calibri"/>
                <w:sz w:val="20"/>
                <w:szCs w:val="24"/>
              </w:rPr>
            </w:pPr>
            <w:r w:rsidRPr="00FA5490">
              <w:rPr>
                <w:rFonts w:eastAsia="Arial" w:cs="Calibri"/>
                <w:sz w:val="20"/>
                <w:szCs w:val="24"/>
              </w:rPr>
              <w:t>Uso combinado del IoT con IA, blockchain, big data y sistemas predictivos para optimizar la toma de decisiones ambientales.</w:t>
            </w:r>
          </w:p>
        </w:tc>
        <w:tc>
          <w:tcPr>
            <w:tcW w:w="3201" w:type="dxa"/>
          </w:tcPr>
          <w:p w14:paraId="1E7B9059" w14:textId="77777777" w:rsidR="00FA5490" w:rsidRPr="00FA5490" w:rsidRDefault="00FA5490" w:rsidP="00FA5490">
            <w:pPr>
              <w:spacing w:after="0" w:line="240" w:lineRule="auto"/>
              <w:rPr>
                <w:rFonts w:eastAsia="Arial" w:cs="Calibri"/>
                <w:sz w:val="20"/>
                <w:szCs w:val="24"/>
              </w:rPr>
            </w:pPr>
            <w:r w:rsidRPr="00FA5490">
              <w:rPr>
                <w:rFonts w:eastAsia="Arial" w:cs="Calibri"/>
                <w:sz w:val="20"/>
                <w:szCs w:val="24"/>
              </w:rPr>
              <w:t>Miller (2025), Humnabadkar (2024), Alshami (2024), Monteiro (2022), Molaei (2020), Kagiso (2020)</w:t>
            </w:r>
          </w:p>
        </w:tc>
      </w:tr>
      <w:tr w:rsidR="00FA5490" w:rsidRPr="00FA5490" w14:paraId="5CEFD38C" w14:textId="77777777" w:rsidTr="00FA5490">
        <w:trPr>
          <w:jc w:val="center"/>
        </w:trPr>
        <w:tc>
          <w:tcPr>
            <w:tcW w:w="2056" w:type="dxa"/>
          </w:tcPr>
          <w:p w14:paraId="6D86DB1D" w14:textId="77777777" w:rsidR="00FA5490" w:rsidRPr="00FA5490" w:rsidRDefault="00FA5490" w:rsidP="00FA5490">
            <w:pPr>
              <w:spacing w:after="0" w:line="240" w:lineRule="auto"/>
              <w:rPr>
                <w:rFonts w:eastAsia="Arial" w:cs="Calibri"/>
                <w:sz w:val="20"/>
                <w:szCs w:val="24"/>
              </w:rPr>
            </w:pPr>
            <w:r w:rsidRPr="00FA5490">
              <w:rPr>
                <w:rFonts w:eastAsia="Arial" w:cs="Calibri"/>
                <w:sz w:val="20"/>
                <w:szCs w:val="24"/>
              </w:rPr>
              <w:t>4. Barreras y desafíos para la adopción</w:t>
            </w:r>
          </w:p>
        </w:tc>
        <w:tc>
          <w:tcPr>
            <w:tcW w:w="3803" w:type="dxa"/>
          </w:tcPr>
          <w:p w14:paraId="6990D42E" w14:textId="77777777" w:rsidR="00FA5490" w:rsidRPr="00FA5490" w:rsidRDefault="00FA5490" w:rsidP="00FA5490">
            <w:pPr>
              <w:spacing w:after="0" w:line="240" w:lineRule="auto"/>
              <w:rPr>
                <w:rFonts w:eastAsia="Arial" w:cs="Calibri"/>
                <w:sz w:val="20"/>
                <w:szCs w:val="24"/>
              </w:rPr>
            </w:pPr>
            <w:r w:rsidRPr="00FA5490">
              <w:rPr>
                <w:rFonts w:eastAsia="Arial" w:cs="Calibri"/>
                <w:sz w:val="20"/>
                <w:szCs w:val="24"/>
              </w:rPr>
              <w:t>Limitaciones técnicas (conectividad), económicas (costos) y sociales (falta de capacidades técnicas, resistencia al cambio).</w:t>
            </w:r>
          </w:p>
        </w:tc>
        <w:tc>
          <w:tcPr>
            <w:tcW w:w="3201" w:type="dxa"/>
          </w:tcPr>
          <w:p w14:paraId="7428D13C" w14:textId="77777777" w:rsidR="00FA5490" w:rsidRPr="00FA5490" w:rsidRDefault="00FA5490" w:rsidP="00FA5490">
            <w:pPr>
              <w:spacing w:after="0" w:line="240" w:lineRule="auto"/>
              <w:rPr>
                <w:rFonts w:eastAsia="Arial" w:cs="Calibri"/>
                <w:sz w:val="20"/>
                <w:szCs w:val="24"/>
              </w:rPr>
            </w:pPr>
            <w:r w:rsidRPr="00FA5490">
              <w:rPr>
                <w:rFonts w:eastAsia="Arial" w:cs="Calibri"/>
                <w:sz w:val="20"/>
                <w:szCs w:val="24"/>
              </w:rPr>
              <w:t>Leuenberger (2021), Maseeh (2021), Nguyen (2022), Vallejo (2024), Miller (2025), Humnabadkar (2024), Shaikh (2023)</w:t>
            </w:r>
          </w:p>
        </w:tc>
      </w:tr>
      <w:tr w:rsidR="00FA5490" w:rsidRPr="00FA5490" w14:paraId="53B7376C" w14:textId="77777777" w:rsidTr="00FA5490">
        <w:trPr>
          <w:jc w:val="center"/>
        </w:trPr>
        <w:tc>
          <w:tcPr>
            <w:tcW w:w="2056" w:type="dxa"/>
          </w:tcPr>
          <w:p w14:paraId="7793794C" w14:textId="77777777" w:rsidR="00FA5490" w:rsidRPr="00FA5490" w:rsidRDefault="00FA5490" w:rsidP="00FA5490">
            <w:pPr>
              <w:spacing w:after="0" w:line="240" w:lineRule="auto"/>
              <w:rPr>
                <w:rFonts w:eastAsia="Arial" w:cs="Calibri"/>
                <w:sz w:val="20"/>
                <w:szCs w:val="24"/>
              </w:rPr>
            </w:pPr>
            <w:r w:rsidRPr="00FA5490">
              <w:rPr>
                <w:rFonts w:eastAsia="Arial" w:cs="Calibri"/>
                <w:sz w:val="20"/>
                <w:szCs w:val="24"/>
              </w:rPr>
              <w:t>5. Experiencias y casos de aplicación</w:t>
            </w:r>
          </w:p>
        </w:tc>
        <w:tc>
          <w:tcPr>
            <w:tcW w:w="3803" w:type="dxa"/>
          </w:tcPr>
          <w:p w14:paraId="6FA157D6" w14:textId="77777777" w:rsidR="00FA5490" w:rsidRPr="00FA5490" w:rsidRDefault="00FA5490" w:rsidP="00FA5490">
            <w:pPr>
              <w:spacing w:after="0" w:line="240" w:lineRule="auto"/>
              <w:rPr>
                <w:rFonts w:eastAsia="Arial" w:cs="Calibri"/>
                <w:sz w:val="20"/>
                <w:szCs w:val="24"/>
              </w:rPr>
            </w:pPr>
            <w:r w:rsidRPr="00FA5490">
              <w:rPr>
                <w:rFonts w:eastAsia="Arial" w:cs="Calibri"/>
                <w:sz w:val="20"/>
                <w:szCs w:val="24"/>
              </w:rPr>
              <w:t>Casos reales de implementación de IoT en minería a nivel global, mostrando lecciones aprendidas y replicabilidad.</w:t>
            </w:r>
          </w:p>
        </w:tc>
        <w:tc>
          <w:tcPr>
            <w:tcW w:w="3201" w:type="dxa"/>
          </w:tcPr>
          <w:p w14:paraId="1BB39711" w14:textId="77777777" w:rsidR="00FA5490" w:rsidRPr="00FA5490" w:rsidRDefault="00FA5490" w:rsidP="00FA5490">
            <w:pPr>
              <w:spacing w:after="0" w:line="240" w:lineRule="auto"/>
              <w:rPr>
                <w:rFonts w:eastAsia="Arial" w:cs="Calibri"/>
                <w:sz w:val="20"/>
                <w:szCs w:val="24"/>
              </w:rPr>
            </w:pPr>
            <w:r w:rsidRPr="00FA5490">
              <w:rPr>
                <w:rFonts w:eastAsia="Arial" w:cs="Calibri"/>
                <w:sz w:val="20"/>
                <w:szCs w:val="24"/>
              </w:rPr>
              <w:t>Fang (2022), Bo (2022, 2023), Huang (2023), Choubey (2022), Puneeth (2024), Zhenguo (2020), Nguyen (2022)</w:t>
            </w:r>
          </w:p>
        </w:tc>
      </w:tr>
    </w:tbl>
    <w:p w14:paraId="2BC93330" w14:textId="068B8E4A" w:rsidR="00FA5490" w:rsidRDefault="00FA5490" w:rsidP="00FA5490">
      <w:pPr>
        <w:spacing w:after="0" w:line="240" w:lineRule="auto"/>
        <w:ind w:firstLine="708"/>
        <w:jc w:val="both"/>
        <w:rPr>
          <w:rFonts w:ascii="Arial" w:hAnsi="Arial" w:cs="Arial"/>
          <w:color w:val="000000" w:themeColor="text1"/>
          <w:sz w:val="20"/>
          <w:szCs w:val="20"/>
        </w:rPr>
      </w:pPr>
    </w:p>
    <w:p w14:paraId="7F67C408" w14:textId="77777777" w:rsidR="00683E7D" w:rsidRPr="002C5594" w:rsidRDefault="00683E7D" w:rsidP="00E271E2">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t>Resultados y discusión</w:t>
      </w:r>
    </w:p>
    <w:p w14:paraId="4FCA6487" w14:textId="0245A76D" w:rsidR="00FA5490" w:rsidRDefault="007A1E6B" w:rsidP="00E271E2">
      <w:pPr>
        <w:spacing w:after="0" w:line="240" w:lineRule="auto"/>
        <w:ind w:firstLine="709"/>
        <w:jc w:val="both"/>
        <w:rPr>
          <w:rFonts w:ascii="Arial" w:hAnsi="Arial" w:cs="Arial"/>
          <w:color w:val="000000" w:themeColor="text1"/>
          <w:sz w:val="20"/>
          <w:szCs w:val="20"/>
        </w:rPr>
      </w:pPr>
      <w:r w:rsidRPr="007A1E6B">
        <w:rPr>
          <w:rFonts w:ascii="Arial" w:hAnsi="Arial" w:cs="Arial"/>
          <w:color w:val="000000" w:themeColor="text1"/>
          <w:sz w:val="20"/>
          <w:szCs w:val="20"/>
        </w:rPr>
        <w:t>En este capítulo se presentan los resultados obtenidos a partir de la evaluación crítica de los veinte estudios seleccionados en la revisión sistemática, correspondientes al periodo 2020–2025. La muestra incluye diversos enfoques metodológicos, entre ellos revisiones sistemáticas y bibliométricas, estudios experimentales, desarrollos de prototipos basados en IoT, modelos de simulación, estudios de caso y metodologías mixtas.</w:t>
      </w:r>
    </w:p>
    <w:p w14:paraId="4534BAE4" w14:textId="77777777" w:rsidR="007A1E6B" w:rsidRDefault="007A1E6B" w:rsidP="00E271E2">
      <w:pPr>
        <w:spacing w:after="0" w:line="240" w:lineRule="auto"/>
        <w:ind w:firstLine="709"/>
        <w:jc w:val="both"/>
        <w:rPr>
          <w:rFonts w:ascii="Arial" w:hAnsi="Arial" w:cs="Arial"/>
          <w:color w:val="000000" w:themeColor="text1"/>
          <w:sz w:val="20"/>
          <w:szCs w:val="20"/>
        </w:rPr>
      </w:pPr>
    </w:p>
    <w:p w14:paraId="54050EB0" w14:textId="40063AAF" w:rsidR="00FA5490" w:rsidRPr="00FA5490" w:rsidRDefault="00F80322" w:rsidP="00FA5490">
      <w:pPr>
        <w:spacing w:after="0" w:line="240" w:lineRule="auto"/>
        <w:jc w:val="both"/>
        <w:rPr>
          <w:rFonts w:ascii="Arial" w:eastAsia="Arial" w:hAnsi="Arial" w:cs="Arial"/>
          <w:b/>
          <w:sz w:val="20"/>
          <w:szCs w:val="24"/>
        </w:rPr>
      </w:pPr>
      <w:r w:rsidRPr="00FA5490">
        <w:rPr>
          <w:rFonts w:ascii="Arial" w:eastAsia="Arial" w:hAnsi="Arial" w:cs="Arial"/>
          <w:b/>
          <w:sz w:val="20"/>
          <w:szCs w:val="24"/>
        </w:rPr>
        <w:t>Tabla 2</w:t>
      </w:r>
    </w:p>
    <w:p w14:paraId="61116940" w14:textId="52C3B9CC" w:rsidR="00FA5490" w:rsidRDefault="00FA5490" w:rsidP="00FA5490">
      <w:pPr>
        <w:spacing w:after="0" w:line="240" w:lineRule="auto"/>
        <w:jc w:val="both"/>
        <w:rPr>
          <w:rFonts w:ascii="Arial" w:eastAsia="Arial" w:hAnsi="Arial" w:cs="Arial"/>
          <w:i/>
          <w:sz w:val="20"/>
          <w:szCs w:val="24"/>
        </w:rPr>
      </w:pPr>
      <w:r w:rsidRPr="00FA5490">
        <w:rPr>
          <w:rFonts w:ascii="Arial" w:eastAsia="Arial" w:hAnsi="Arial" w:cs="Arial"/>
          <w:i/>
          <w:sz w:val="20"/>
          <w:szCs w:val="24"/>
        </w:rPr>
        <w:t>Resultados de la evaluación de la calidad de los estudios</w:t>
      </w:r>
    </w:p>
    <w:p w14:paraId="39BB9DCD" w14:textId="77777777" w:rsidR="00FA5490" w:rsidRPr="00FA5490" w:rsidRDefault="00FA5490" w:rsidP="00FA5490">
      <w:pPr>
        <w:spacing w:after="0" w:line="240" w:lineRule="auto"/>
        <w:jc w:val="both"/>
        <w:rPr>
          <w:rFonts w:ascii="Arial" w:eastAsia="Arial" w:hAnsi="Arial" w:cs="Arial"/>
          <w:i/>
          <w:sz w:val="20"/>
          <w:szCs w:val="24"/>
        </w:rPr>
      </w:pPr>
    </w:p>
    <w:tbl>
      <w:tblPr>
        <w:tblW w:w="9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95"/>
        <w:gridCol w:w="3529"/>
        <w:gridCol w:w="1134"/>
        <w:gridCol w:w="1134"/>
        <w:gridCol w:w="1268"/>
      </w:tblGrid>
      <w:tr w:rsidR="00FA5490" w:rsidRPr="00FA5490" w14:paraId="38940766" w14:textId="77777777" w:rsidTr="00B85C6A">
        <w:trPr>
          <w:jc w:val="center"/>
        </w:trPr>
        <w:tc>
          <w:tcPr>
            <w:tcW w:w="1995" w:type="dxa"/>
            <w:shd w:val="clear" w:color="auto" w:fill="B4C6E7" w:themeFill="accent1" w:themeFillTint="66"/>
            <w:vAlign w:val="center"/>
          </w:tcPr>
          <w:p w14:paraId="73FFAAFE" w14:textId="77777777" w:rsidR="00FA5490" w:rsidRPr="00FA5490" w:rsidRDefault="00FA5490" w:rsidP="00FA5490">
            <w:pPr>
              <w:spacing w:after="0" w:line="240" w:lineRule="auto"/>
              <w:jc w:val="center"/>
              <w:rPr>
                <w:rFonts w:ascii="Arial" w:eastAsia="Arial" w:hAnsi="Arial" w:cs="Arial"/>
                <w:b/>
                <w:sz w:val="20"/>
                <w:szCs w:val="24"/>
              </w:rPr>
            </w:pPr>
            <w:r w:rsidRPr="00FA5490">
              <w:rPr>
                <w:rFonts w:ascii="Arial" w:eastAsia="Arial" w:hAnsi="Arial" w:cs="Arial"/>
                <w:b/>
                <w:sz w:val="20"/>
                <w:szCs w:val="24"/>
              </w:rPr>
              <w:t>Autor (año)</w:t>
            </w:r>
          </w:p>
        </w:tc>
        <w:tc>
          <w:tcPr>
            <w:tcW w:w="3529" w:type="dxa"/>
            <w:shd w:val="clear" w:color="auto" w:fill="B4C6E7" w:themeFill="accent1" w:themeFillTint="66"/>
            <w:vAlign w:val="center"/>
          </w:tcPr>
          <w:p w14:paraId="324FBDF2" w14:textId="77777777" w:rsidR="00FA5490" w:rsidRPr="00FA5490" w:rsidRDefault="00FA5490" w:rsidP="00FA5490">
            <w:pPr>
              <w:spacing w:after="0" w:line="240" w:lineRule="auto"/>
              <w:jc w:val="center"/>
              <w:rPr>
                <w:rFonts w:ascii="Arial" w:eastAsia="Arial" w:hAnsi="Arial" w:cs="Arial"/>
                <w:b/>
                <w:sz w:val="20"/>
                <w:szCs w:val="24"/>
              </w:rPr>
            </w:pPr>
            <w:r w:rsidRPr="00FA5490">
              <w:rPr>
                <w:rFonts w:ascii="Arial" w:eastAsia="Arial" w:hAnsi="Arial" w:cs="Arial"/>
                <w:b/>
                <w:sz w:val="20"/>
                <w:szCs w:val="24"/>
              </w:rPr>
              <w:t>Diseño del estudio</w:t>
            </w:r>
          </w:p>
        </w:tc>
        <w:tc>
          <w:tcPr>
            <w:tcW w:w="1134" w:type="dxa"/>
            <w:shd w:val="clear" w:color="auto" w:fill="B4C6E7" w:themeFill="accent1" w:themeFillTint="66"/>
            <w:vAlign w:val="center"/>
          </w:tcPr>
          <w:p w14:paraId="3836C781" w14:textId="77777777" w:rsidR="00FA5490" w:rsidRPr="00FA5490" w:rsidRDefault="00FA5490" w:rsidP="00FA5490">
            <w:pPr>
              <w:spacing w:after="0" w:line="240" w:lineRule="auto"/>
              <w:jc w:val="center"/>
              <w:rPr>
                <w:rFonts w:ascii="Arial" w:eastAsia="Arial" w:hAnsi="Arial" w:cs="Arial"/>
                <w:b/>
                <w:sz w:val="20"/>
                <w:szCs w:val="24"/>
              </w:rPr>
            </w:pPr>
            <w:r w:rsidRPr="00FA5490">
              <w:rPr>
                <w:rFonts w:ascii="Arial" w:eastAsia="Arial" w:hAnsi="Arial" w:cs="Arial"/>
                <w:b/>
                <w:sz w:val="20"/>
                <w:szCs w:val="24"/>
              </w:rPr>
              <w:t>Validez interna</w:t>
            </w:r>
          </w:p>
        </w:tc>
        <w:tc>
          <w:tcPr>
            <w:tcW w:w="1134" w:type="dxa"/>
            <w:shd w:val="clear" w:color="auto" w:fill="B4C6E7" w:themeFill="accent1" w:themeFillTint="66"/>
            <w:vAlign w:val="center"/>
          </w:tcPr>
          <w:p w14:paraId="28906A7E" w14:textId="77777777" w:rsidR="00FA5490" w:rsidRPr="00FA5490" w:rsidRDefault="00FA5490" w:rsidP="00FA5490">
            <w:pPr>
              <w:spacing w:after="0" w:line="240" w:lineRule="auto"/>
              <w:jc w:val="center"/>
              <w:rPr>
                <w:rFonts w:ascii="Arial" w:eastAsia="Arial" w:hAnsi="Arial" w:cs="Arial"/>
                <w:b/>
                <w:sz w:val="20"/>
                <w:szCs w:val="24"/>
              </w:rPr>
            </w:pPr>
            <w:r w:rsidRPr="00FA5490">
              <w:rPr>
                <w:rFonts w:ascii="Arial" w:eastAsia="Arial" w:hAnsi="Arial" w:cs="Arial"/>
                <w:b/>
                <w:sz w:val="20"/>
                <w:szCs w:val="24"/>
              </w:rPr>
              <w:t>Validez externa</w:t>
            </w:r>
          </w:p>
        </w:tc>
        <w:tc>
          <w:tcPr>
            <w:tcW w:w="1268" w:type="dxa"/>
            <w:shd w:val="clear" w:color="auto" w:fill="B4C6E7" w:themeFill="accent1" w:themeFillTint="66"/>
            <w:vAlign w:val="center"/>
          </w:tcPr>
          <w:p w14:paraId="47523A51" w14:textId="77777777" w:rsidR="00FA5490" w:rsidRPr="00FA5490" w:rsidRDefault="00FA5490" w:rsidP="00FA5490">
            <w:pPr>
              <w:spacing w:after="0" w:line="240" w:lineRule="auto"/>
              <w:jc w:val="center"/>
              <w:rPr>
                <w:rFonts w:ascii="Arial" w:eastAsia="Arial" w:hAnsi="Arial" w:cs="Arial"/>
                <w:b/>
                <w:sz w:val="20"/>
                <w:szCs w:val="24"/>
              </w:rPr>
            </w:pPr>
            <w:r w:rsidRPr="00FA5490">
              <w:rPr>
                <w:rFonts w:ascii="Arial" w:eastAsia="Arial" w:hAnsi="Arial" w:cs="Arial"/>
                <w:b/>
                <w:sz w:val="20"/>
                <w:szCs w:val="24"/>
              </w:rPr>
              <w:t>Riesgo de sesgo</w:t>
            </w:r>
          </w:p>
        </w:tc>
      </w:tr>
      <w:tr w:rsidR="00FA5490" w14:paraId="2180F5AC" w14:textId="77777777" w:rsidTr="00B85C6A">
        <w:trPr>
          <w:jc w:val="center"/>
        </w:trPr>
        <w:tc>
          <w:tcPr>
            <w:tcW w:w="1995" w:type="dxa"/>
          </w:tcPr>
          <w:p w14:paraId="21ECA2F5"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Miller (2025)</w:t>
            </w:r>
          </w:p>
        </w:tc>
        <w:tc>
          <w:tcPr>
            <w:tcW w:w="3529" w:type="dxa"/>
          </w:tcPr>
          <w:p w14:paraId="0E344EC0"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Revisión sistemática IoT-IA ambiental</w:t>
            </w:r>
          </w:p>
        </w:tc>
        <w:tc>
          <w:tcPr>
            <w:tcW w:w="1134" w:type="dxa"/>
          </w:tcPr>
          <w:p w14:paraId="07BDC2A4"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15E0CB79"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6BEA95C7"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5275CE6C" w14:textId="77777777" w:rsidTr="00B85C6A">
        <w:trPr>
          <w:jc w:val="center"/>
        </w:trPr>
        <w:tc>
          <w:tcPr>
            <w:tcW w:w="1995" w:type="dxa"/>
          </w:tcPr>
          <w:p w14:paraId="6B5D7D0E"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Alshami (2024)</w:t>
            </w:r>
          </w:p>
        </w:tc>
        <w:tc>
          <w:tcPr>
            <w:tcW w:w="3529" w:type="dxa"/>
          </w:tcPr>
          <w:p w14:paraId="7C937D6A"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Revisión sistemática + bibliometría</w:t>
            </w:r>
          </w:p>
        </w:tc>
        <w:tc>
          <w:tcPr>
            <w:tcW w:w="1134" w:type="dxa"/>
          </w:tcPr>
          <w:p w14:paraId="413F4B1C"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343157E6"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268" w:type="dxa"/>
          </w:tcPr>
          <w:p w14:paraId="6405ED84"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27CADE8A" w14:textId="77777777" w:rsidTr="00B85C6A">
        <w:trPr>
          <w:jc w:val="center"/>
        </w:trPr>
        <w:tc>
          <w:tcPr>
            <w:tcW w:w="1995" w:type="dxa"/>
          </w:tcPr>
          <w:p w14:paraId="0C7CED8A"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Puneeth (2024)</w:t>
            </w:r>
          </w:p>
        </w:tc>
        <w:tc>
          <w:tcPr>
            <w:tcW w:w="3529" w:type="dxa"/>
          </w:tcPr>
          <w:p w14:paraId="2FB1749E"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Prototipo IoT con sensores y nube</w:t>
            </w:r>
          </w:p>
        </w:tc>
        <w:tc>
          <w:tcPr>
            <w:tcW w:w="1134" w:type="dxa"/>
          </w:tcPr>
          <w:p w14:paraId="45D38EB1"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6015E61B"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4329706D"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7464D854" w14:textId="77777777" w:rsidTr="00B85C6A">
        <w:trPr>
          <w:jc w:val="center"/>
        </w:trPr>
        <w:tc>
          <w:tcPr>
            <w:tcW w:w="1995" w:type="dxa"/>
          </w:tcPr>
          <w:p w14:paraId="2CC81EEA"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Vallejo (2024)</w:t>
            </w:r>
          </w:p>
        </w:tc>
        <w:tc>
          <w:tcPr>
            <w:tcW w:w="3529" w:type="dxa"/>
          </w:tcPr>
          <w:p w14:paraId="1456B520"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Prototipo IoT open source</w:t>
            </w:r>
          </w:p>
        </w:tc>
        <w:tc>
          <w:tcPr>
            <w:tcW w:w="1134" w:type="dxa"/>
          </w:tcPr>
          <w:p w14:paraId="5D6F565A"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1350B0B6"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1997ECD1"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141E58F5" w14:textId="77777777" w:rsidTr="00B85C6A">
        <w:trPr>
          <w:jc w:val="center"/>
        </w:trPr>
        <w:tc>
          <w:tcPr>
            <w:tcW w:w="1995" w:type="dxa"/>
          </w:tcPr>
          <w:p w14:paraId="5BCBF684"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Humnabadkar (2024)</w:t>
            </w:r>
          </w:p>
        </w:tc>
        <w:tc>
          <w:tcPr>
            <w:tcW w:w="3529" w:type="dxa"/>
          </w:tcPr>
          <w:p w14:paraId="3ABD044A"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Revisión tecnologías avanzadas</w:t>
            </w:r>
          </w:p>
        </w:tc>
        <w:tc>
          <w:tcPr>
            <w:tcW w:w="1134" w:type="dxa"/>
          </w:tcPr>
          <w:p w14:paraId="005A58AA"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250813B4"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41E89EBC"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5B633053" w14:textId="77777777" w:rsidTr="00B85C6A">
        <w:trPr>
          <w:jc w:val="center"/>
        </w:trPr>
        <w:tc>
          <w:tcPr>
            <w:tcW w:w="1995" w:type="dxa"/>
          </w:tcPr>
          <w:p w14:paraId="6B476D7E"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Bothe (2023)</w:t>
            </w:r>
          </w:p>
        </w:tc>
        <w:tc>
          <w:tcPr>
            <w:tcW w:w="3529" w:type="dxa"/>
          </w:tcPr>
          <w:p w14:paraId="2E406759"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Revisión cualitativa (ciclo vida agua)</w:t>
            </w:r>
          </w:p>
        </w:tc>
        <w:tc>
          <w:tcPr>
            <w:tcW w:w="1134" w:type="dxa"/>
          </w:tcPr>
          <w:p w14:paraId="77C97C73"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07B82DAF"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3FBD4740"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4B478A74" w14:textId="77777777" w:rsidTr="00B85C6A">
        <w:trPr>
          <w:jc w:val="center"/>
        </w:trPr>
        <w:tc>
          <w:tcPr>
            <w:tcW w:w="1995" w:type="dxa"/>
          </w:tcPr>
          <w:p w14:paraId="0741C456"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Huang (2023)</w:t>
            </w:r>
          </w:p>
        </w:tc>
        <w:tc>
          <w:tcPr>
            <w:tcW w:w="3529" w:type="dxa"/>
          </w:tcPr>
          <w:p w14:paraId="0115C51A"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Estudio de caso geofísico</w:t>
            </w:r>
          </w:p>
        </w:tc>
        <w:tc>
          <w:tcPr>
            <w:tcW w:w="1134" w:type="dxa"/>
          </w:tcPr>
          <w:p w14:paraId="3B373037"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4F41898B"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20467D74"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43963DF3" w14:textId="77777777" w:rsidTr="00B85C6A">
        <w:trPr>
          <w:jc w:val="center"/>
        </w:trPr>
        <w:tc>
          <w:tcPr>
            <w:tcW w:w="1995" w:type="dxa"/>
          </w:tcPr>
          <w:p w14:paraId="129770A4"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Shaikh (2023)</w:t>
            </w:r>
          </w:p>
        </w:tc>
        <w:tc>
          <w:tcPr>
            <w:tcW w:w="3529" w:type="dxa"/>
          </w:tcPr>
          <w:p w14:paraId="56C8F7A7"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Revisión de WMS basados en IoT</w:t>
            </w:r>
          </w:p>
        </w:tc>
        <w:tc>
          <w:tcPr>
            <w:tcW w:w="1134" w:type="dxa"/>
          </w:tcPr>
          <w:p w14:paraId="76D1A4B8"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63A92BFD"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6C098091"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7525FEF4" w14:textId="77777777" w:rsidTr="00B85C6A">
        <w:trPr>
          <w:jc w:val="center"/>
        </w:trPr>
        <w:tc>
          <w:tcPr>
            <w:tcW w:w="1995" w:type="dxa"/>
          </w:tcPr>
          <w:p w14:paraId="75D3761B"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Bo (2023)</w:t>
            </w:r>
          </w:p>
        </w:tc>
        <w:tc>
          <w:tcPr>
            <w:tcW w:w="3529" w:type="dxa"/>
          </w:tcPr>
          <w:p w14:paraId="4C66DA0D"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Modelo IoT en nube con sensores</w:t>
            </w:r>
          </w:p>
        </w:tc>
        <w:tc>
          <w:tcPr>
            <w:tcW w:w="1134" w:type="dxa"/>
          </w:tcPr>
          <w:p w14:paraId="20C80276"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34132543"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5D893E40"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2A618115" w14:textId="77777777" w:rsidTr="00B85C6A">
        <w:trPr>
          <w:jc w:val="center"/>
        </w:trPr>
        <w:tc>
          <w:tcPr>
            <w:tcW w:w="1995" w:type="dxa"/>
          </w:tcPr>
          <w:p w14:paraId="4DB2D173"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Monteiro (2022)</w:t>
            </w:r>
          </w:p>
        </w:tc>
        <w:tc>
          <w:tcPr>
            <w:tcW w:w="3529" w:type="dxa"/>
          </w:tcPr>
          <w:p w14:paraId="6019F786"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Modelo de simulación hídrica</w:t>
            </w:r>
          </w:p>
        </w:tc>
        <w:tc>
          <w:tcPr>
            <w:tcW w:w="1134" w:type="dxa"/>
          </w:tcPr>
          <w:p w14:paraId="5F39CC35"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475C091C"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30D65AAE"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513732EF" w14:textId="77777777" w:rsidTr="00B85C6A">
        <w:trPr>
          <w:jc w:val="center"/>
        </w:trPr>
        <w:tc>
          <w:tcPr>
            <w:tcW w:w="1995" w:type="dxa"/>
          </w:tcPr>
          <w:p w14:paraId="79A1BB1F"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Fang (2022)</w:t>
            </w:r>
          </w:p>
        </w:tc>
        <w:tc>
          <w:tcPr>
            <w:tcW w:w="3529" w:type="dxa"/>
          </w:tcPr>
          <w:p w14:paraId="4C9492D1"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Experimento de fermentación anaerobia</w:t>
            </w:r>
          </w:p>
        </w:tc>
        <w:tc>
          <w:tcPr>
            <w:tcW w:w="1134" w:type="dxa"/>
          </w:tcPr>
          <w:p w14:paraId="7AD12DD2"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45D7BF95"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00DD9F5C"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Baja</w:t>
            </w:r>
          </w:p>
        </w:tc>
      </w:tr>
      <w:tr w:rsidR="00FA5490" w14:paraId="41BC0271" w14:textId="77777777" w:rsidTr="00B85C6A">
        <w:trPr>
          <w:jc w:val="center"/>
        </w:trPr>
        <w:tc>
          <w:tcPr>
            <w:tcW w:w="1995" w:type="dxa"/>
          </w:tcPr>
          <w:p w14:paraId="4DA9E29A"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Choubey (2022)</w:t>
            </w:r>
          </w:p>
        </w:tc>
        <w:tc>
          <w:tcPr>
            <w:tcW w:w="3529" w:type="dxa"/>
          </w:tcPr>
          <w:p w14:paraId="096702D8"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Desarrollo de sistema IoT (prototipo)</w:t>
            </w:r>
          </w:p>
        </w:tc>
        <w:tc>
          <w:tcPr>
            <w:tcW w:w="1134" w:type="dxa"/>
          </w:tcPr>
          <w:p w14:paraId="4FE4C43A"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1648C1E9"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0043BD26"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3005DBB9" w14:textId="77777777" w:rsidTr="00B85C6A">
        <w:trPr>
          <w:jc w:val="center"/>
        </w:trPr>
        <w:tc>
          <w:tcPr>
            <w:tcW w:w="1995" w:type="dxa"/>
          </w:tcPr>
          <w:p w14:paraId="64B68643"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Bo (2022)</w:t>
            </w:r>
          </w:p>
        </w:tc>
        <w:tc>
          <w:tcPr>
            <w:tcW w:w="3529" w:type="dxa"/>
          </w:tcPr>
          <w:p w14:paraId="49499F11"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Sistema IoT multisensor</w:t>
            </w:r>
          </w:p>
        </w:tc>
        <w:tc>
          <w:tcPr>
            <w:tcW w:w="1134" w:type="dxa"/>
          </w:tcPr>
          <w:p w14:paraId="28682A24"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3F256E2F"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1A00E961"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48AE06F6" w14:textId="77777777" w:rsidTr="00B85C6A">
        <w:trPr>
          <w:jc w:val="center"/>
        </w:trPr>
        <w:tc>
          <w:tcPr>
            <w:tcW w:w="1995" w:type="dxa"/>
          </w:tcPr>
          <w:p w14:paraId="6BCB057F"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Nguyen (2022)</w:t>
            </w:r>
          </w:p>
        </w:tc>
        <w:tc>
          <w:tcPr>
            <w:tcW w:w="3529" w:type="dxa"/>
          </w:tcPr>
          <w:p w14:paraId="669EC94D"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Sistema IoT para polvo y agua</w:t>
            </w:r>
          </w:p>
        </w:tc>
        <w:tc>
          <w:tcPr>
            <w:tcW w:w="1134" w:type="dxa"/>
          </w:tcPr>
          <w:p w14:paraId="749D8C06"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5B11C873"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5443D0CC"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57AF69AE" w14:textId="77777777" w:rsidTr="00B85C6A">
        <w:trPr>
          <w:jc w:val="center"/>
        </w:trPr>
        <w:tc>
          <w:tcPr>
            <w:tcW w:w="1995" w:type="dxa"/>
          </w:tcPr>
          <w:p w14:paraId="574DF7F0"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Leuenberger (2021)</w:t>
            </w:r>
          </w:p>
        </w:tc>
        <w:tc>
          <w:tcPr>
            <w:tcW w:w="3529" w:type="dxa"/>
          </w:tcPr>
          <w:p w14:paraId="652D9398"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Métodos mixtos geoespaciales</w:t>
            </w:r>
          </w:p>
        </w:tc>
        <w:tc>
          <w:tcPr>
            <w:tcW w:w="1134" w:type="dxa"/>
          </w:tcPr>
          <w:p w14:paraId="20840D28"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04F97055"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70571437"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2988667F" w14:textId="77777777" w:rsidTr="00B85C6A">
        <w:trPr>
          <w:jc w:val="center"/>
        </w:trPr>
        <w:tc>
          <w:tcPr>
            <w:tcW w:w="1995" w:type="dxa"/>
          </w:tcPr>
          <w:p w14:paraId="7F762108"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Maseeh (2021)</w:t>
            </w:r>
          </w:p>
        </w:tc>
        <w:tc>
          <w:tcPr>
            <w:tcW w:w="3529" w:type="dxa"/>
          </w:tcPr>
          <w:p w14:paraId="71DE3487"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Revisión IoT y TIC en agua</w:t>
            </w:r>
          </w:p>
        </w:tc>
        <w:tc>
          <w:tcPr>
            <w:tcW w:w="1134" w:type="dxa"/>
          </w:tcPr>
          <w:p w14:paraId="74920C5C"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21F1263A"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3B543BD6"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4109495B" w14:textId="77777777" w:rsidTr="00B85C6A">
        <w:trPr>
          <w:jc w:val="center"/>
        </w:trPr>
        <w:tc>
          <w:tcPr>
            <w:tcW w:w="1995" w:type="dxa"/>
          </w:tcPr>
          <w:p w14:paraId="70D0E33C"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Shafaei (2021)</w:t>
            </w:r>
          </w:p>
        </w:tc>
        <w:tc>
          <w:tcPr>
            <w:tcW w:w="3529" w:type="dxa"/>
          </w:tcPr>
          <w:p w14:paraId="18AA717B"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Ensayo experimental (EDW relaves)</w:t>
            </w:r>
          </w:p>
        </w:tc>
        <w:tc>
          <w:tcPr>
            <w:tcW w:w="1134" w:type="dxa"/>
          </w:tcPr>
          <w:p w14:paraId="5DD038C0"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181DF904"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50E6CB12"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Bajo</w:t>
            </w:r>
          </w:p>
        </w:tc>
      </w:tr>
      <w:tr w:rsidR="00FA5490" w14:paraId="0D2EF0A0" w14:textId="77777777" w:rsidTr="00B85C6A">
        <w:trPr>
          <w:jc w:val="center"/>
        </w:trPr>
        <w:tc>
          <w:tcPr>
            <w:tcW w:w="1995" w:type="dxa"/>
          </w:tcPr>
          <w:p w14:paraId="1C4FFD68"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Kagiso (2020)</w:t>
            </w:r>
          </w:p>
        </w:tc>
        <w:tc>
          <w:tcPr>
            <w:tcW w:w="3529" w:type="dxa"/>
          </w:tcPr>
          <w:p w14:paraId="43B92DFC"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Revisión de tecnologías IoT/WSN</w:t>
            </w:r>
          </w:p>
        </w:tc>
        <w:tc>
          <w:tcPr>
            <w:tcW w:w="1134" w:type="dxa"/>
          </w:tcPr>
          <w:p w14:paraId="32260705"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77E828EC"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2076EB55"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34237CB6" w14:textId="77777777" w:rsidTr="00B85C6A">
        <w:trPr>
          <w:jc w:val="center"/>
        </w:trPr>
        <w:tc>
          <w:tcPr>
            <w:tcW w:w="1995" w:type="dxa"/>
          </w:tcPr>
          <w:p w14:paraId="5CD1EE4F"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Molaei (2020)</w:t>
            </w:r>
          </w:p>
        </w:tc>
        <w:tc>
          <w:tcPr>
            <w:tcW w:w="3529" w:type="dxa"/>
          </w:tcPr>
          <w:p w14:paraId="7CB031C6"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Revisión bibliográfica IoT en minería</w:t>
            </w:r>
          </w:p>
        </w:tc>
        <w:tc>
          <w:tcPr>
            <w:tcW w:w="1134" w:type="dxa"/>
          </w:tcPr>
          <w:p w14:paraId="0E727A69"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58CEBCD3"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0E2ECAB7"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r w:rsidR="00FA5490" w14:paraId="357E3E5C" w14:textId="77777777" w:rsidTr="00B85C6A">
        <w:trPr>
          <w:jc w:val="center"/>
        </w:trPr>
        <w:tc>
          <w:tcPr>
            <w:tcW w:w="1995" w:type="dxa"/>
          </w:tcPr>
          <w:p w14:paraId="50742EBA"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Zhenguo (2020)</w:t>
            </w:r>
          </w:p>
        </w:tc>
        <w:tc>
          <w:tcPr>
            <w:tcW w:w="3529" w:type="dxa"/>
          </w:tcPr>
          <w:p w14:paraId="143182E5" w14:textId="77777777" w:rsidR="00FA5490" w:rsidRPr="00FA5490" w:rsidRDefault="00FA5490" w:rsidP="00FA5490">
            <w:pPr>
              <w:spacing w:after="0" w:line="240" w:lineRule="auto"/>
              <w:jc w:val="both"/>
              <w:rPr>
                <w:rFonts w:eastAsia="Arial" w:cs="Calibri"/>
                <w:sz w:val="20"/>
                <w:szCs w:val="20"/>
              </w:rPr>
            </w:pPr>
            <w:r w:rsidRPr="00FA5490">
              <w:rPr>
                <w:rFonts w:eastAsia="Arial" w:cs="Calibri"/>
                <w:sz w:val="20"/>
                <w:szCs w:val="20"/>
              </w:rPr>
              <w:t>IoT + regresión múltiple</w:t>
            </w:r>
          </w:p>
        </w:tc>
        <w:tc>
          <w:tcPr>
            <w:tcW w:w="1134" w:type="dxa"/>
          </w:tcPr>
          <w:p w14:paraId="4A773F31"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Sí</w:t>
            </w:r>
          </w:p>
        </w:tc>
        <w:tc>
          <w:tcPr>
            <w:tcW w:w="1134" w:type="dxa"/>
          </w:tcPr>
          <w:p w14:paraId="5BC016E3"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No</w:t>
            </w:r>
          </w:p>
        </w:tc>
        <w:tc>
          <w:tcPr>
            <w:tcW w:w="1268" w:type="dxa"/>
          </w:tcPr>
          <w:p w14:paraId="733AE55E" w14:textId="77777777" w:rsidR="00FA5490" w:rsidRPr="00FA5490" w:rsidRDefault="00FA5490" w:rsidP="00FA5490">
            <w:pPr>
              <w:spacing w:after="0" w:line="240" w:lineRule="auto"/>
              <w:jc w:val="center"/>
              <w:rPr>
                <w:rFonts w:eastAsia="Arial" w:cs="Calibri"/>
                <w:sz w:val="20"/>
                <w:szCs w:val="20"/>
              </w:rPr>
            </w:pPr>
            <w:r w:rsidRPr="00FA5490">
              <w:rPr>
                <w:rFonts w:eastAsia="Arial" w:cs="Calibri"/>
                <w:sz w:val="20"/>
                <w:szCs w:val="20"/>
              </w:rPr>
              <w:t>Moderado</w:t>
            </w:r>
          </w:p>
        </w:tc>
      </w:tr>
    </w:tbl>
    <w:p w14:paraId="6F41FAE7" w14:textId="77777777" w:rsidR="00FA5490" w:rsidRDefault="00FA5490" w:rsidP="00E271E2">
      <w:pPr>
        <w:spacing w:after="0" w:line="240" w:lineRule="auto"/>
        <w:ind w:firstLine="709"/>
        <w:jc w:val="both"/>
        <w:rPr>
          <w:rFonts w:ascii="Arial" w:hAnsi="Arial" w:cs="Arial"/>
          <w:color w:val="000000" w:themeColor="text1"/>
          <w:sz w:val="20"/>
          <w:szCs w:val="20"/>
        </w:rPr>
      </w:pPr>
    </w:p>
    <w:p w14:paraId="515FCC25" w14:textId="77777777" w:rsidR="007A1E6B" w:rsidRPr="007A1E6B" w:rsidRDefault="007A1E6B" w:rsidP="007A1E6B">
      <w:pPr>
        <w:ind w:firstLine="708"/>
        <w:jc w:val="both"/>
        <w:rPr>
          <w:rFonts w:ascii="Arial" w:hAnsi="Arial" w:cs="Arial"/>
          <w:color w:val="000000" w:themeColor="text1"/>
          <w:sz w:val="20"/>
          <w:szCs w:val="20"/>
        </w:rPr>
      </w:pPr>
      <w:r w:rsidRPr="00B027DD">
        <w:rPr>
          <w:rFonts w:ascii="Arial" w:hAnsi="Arial" w:cs="Arial"/>
          <w:color w:val="000000" w:themeColor="text1"/>
          <w:sz w:val="20"/>
          <w:szCs w:val="20"/>
        </w:rPr>
        <w:t>La</w:t>
      </w:r>
      <w:r w:rsidRPr="00B027DD">
        <w:rPr>
          <w:rFonts w:ascii="Arial" w:hAnsi="Arial" w:cs="Arial"/>
          <w:b/>
          <w:color w:val="000000" w:themeColor="text1"/>
          <w:sz w:val="20"/>
          <w:szCs w:val="20"/>
        </w:rPr>
        <w:t xml:space="preserve"> Tabla 3</w:t>
      </w:r>
      <w:r w:rsidRPr="007A1E6B">
        <w:rPr>
          <w:rFonts w:ascii="Arial" w:hAnsi="Arial" w:cs="Arial"/>
          <w:color w:val="000000" w:themeColor="text1"/>
          <w:sz w:val="20"/>
          <w:szCs w:val="20"/>
        </w:rPr>
        <w:t xml:space="preserve"> sintetiza las principales características metodológicas, los hallazgos más relevantes y las conclusiones de los veinte estudios incluidos en la revisión sistemática. Los trabajos abarcan una amplia variedad de enfoques, que van desde revisiones bibliográficas y sistemáticas, hasta estudios experimentales, desarrollos de prototipos IoT, estudios de caso y modelos de simulación. En los resultados se observa un consenso general respecto al impacto positivo del Internet de las Cosas en la optimización del uso del recurso hídrico, destacándose mejoras en el monitoreo en tiempo real, la automatiza</w:t>
      </w:r>
      <w:bookmarkStart w:id="0" w:name="_GoBack"/>
      <w:bookmarkEnd w:id="0"/>
      <w:r w:rsidRPr="007A1E6B">
        <w:rPr>
          <w:rFonts w:ascii="Arial" w:hAnsi="Arial" w:cs="Arial"/>
          <w:color w:val="000000" w:themeColor="text1"/>
          <w:sz w:val="20"/>
          <w:szCs w:val="20"/>
        </w:rPr>
        <w:t>ción de procesos y la detección temprana de fugas o fallos. Las conclusiones, en su mayoría, subrayan la necesidad de ampliar la validación de estas tecnologías en escenarios reales, fortalecer la conectividad en entornos mineros remotos y promover la integración con otras tecnologías emergentes como la inteligencia artificial y blockchain para incrementar la sostenibilidad de la gestión hídrica en el sector minero.</w:t>
      </w:r>
    </w:p>
    <w:p w14:paraId="51F8C33C" w14:textId="2A7A9F07" w:rsidR="00B85C6A" w:rsidRPr="003B36BC" w:rsidRDefault="00F80322" w:rsidP="00B85C6A">
      <w:pPr>
        <w:spacing w:after="0" w:line="240" w:lineRule="auto"/>
        <w:jc w:val="both"/>
        <w:rPr>
          <w:rFonts w:ascii="Arial" w:eastAsia="Arial" w:hAnsi="Arial" w:cs="Arial"/>
          <w:b/>
          <w:sz w:val="20"/>
          <w:szCs w:val="24"/>
        </w:rPr>
      </w:pPr>
      <w:r w:rsidRPr="003B36BC">
        <w:rPr>
          <w:rFonts w:ascii="Arial" w:eastAsia="Arial" w:hAnsi="Arial" w:cs="Arial"/>
          <w:b/>
          <w:sz w:val="20"/>
          <w:szCs w:val="24"/>
        </w:rPr>
        <w:t>Tabla 3</w:t>
      </w:r>
    </w:p>
    <w:p w14:paraId="4F66AEC9" w14:textId="33839DAC" w:rsidR="00B85C6A" w:rsidRDefault="00B85C6A" w:rsidP="00B85C6A">
      <w:pPr>
        <w:spacing w:after="0" w:line="240" w:lineRule="auto"/>
        <w:jc w:val="both"/>
        <w:rPr>
          <w:rFonts w:ascii="Arial" w:eastAsia="Arial" w:hAnsi="Arial" w:cs="Arial"/>
          <w:i/>
          <w:sz w:val="20"/>
          <w:szCs w:val="24"/>
        </w:rPr>
      </w:pPr>
      <w:r w:rsidRPr="00202795">
        <w:rPr>
          <w:rFonts w:ascii="Arial" w:eastAsia="Arial" w:hAnsi="Arial" w:cs="Arial"/>
          <w:i/>
          <w:sz w:val="20"/>
          <w:szCs w:val="24"/>
        </w:rPr>
        <w:t>Características de los estudios seleccionados</w:t>
      </w:r>
    </w:p>
    <w:p w14:paraId="5B449A56" w14:textId="77777777" w:rsidR="00202795" w:rsidRPr="00202795" w:rsidRDefault="00202795" w:rsidP="00B85C6A">
      <w:pPr>
        <w:spacing w:after="0" w:line="240" w:lineRule="auto"/>
        <w:jc w:val="both"/>
        <w:rPr>
          <w:rFonts w:ascii="Arial" w:eastAsia="Arial" w:hAnsi="Arial" w:cs="Arial"/>
          <w:i/>
          <w:sz w:val="20"/>
          <w:szCs w:val="24"/>
        </w:rPr>
      </w:pPr>
    </w:p>
    <w:tbl>
      <w:tblPr>
        <w:tblW w:w="9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24"/>
        <w:gridCol w:w="2807"/>
        <w:gridCol w:w="2410"/>
        <w:gridCol w:w="2119"/>
      </w:tblGrid>
      <w:tr w:rsidR="00B85C6A" w14:paraId="6E41DBB8" w14:textId="77777777" w:rsidTr="003B36BC">
        <w:trPr>
          <w:jc w:val="center"/>
        </w:trPr>
        <w:tc>
          <w:tcPr>
            <w:tcW w:w="1724" w:type="dxa"/>
            <w:shd w:val="clear" w:color="auto" w:fill="B4C6E7" w:themeFill="accent1" w:themeFillTint="66"/>
          </w:tcPr>
          <w:p w14:paraId="314C34A1" w14:textId="77777777" w:rsidR="00B85C6A" w:rsidRPr="003B36BC" w:rsidRDefault="00B85C6A" w:rsidP="003B36BC">
            <w:pPr>
              <w:spacing w:after="0" w:line="240" w:lineRule="auto"/>
              <w:jc w:val="center"/>
              <w:rPr>
                <w:rFonts w:ascii="Arial" w:eastAsia="Arial" w:hAnsi="Arial" w:cs="Arial"/>
                <w:b/>
                <w:sz w:val="20"/>
                <w:szCs w:val="24"/>
              </w:rPr>
            </w:pPr>
            <w:r w:rsidRPr="003B36BC">
              <w:rPr>
                <w:rFonts w:ascii="Arial" w:eastAsia="Arial" w:hAnsi="Arial" w:cs="Arial"/>
                <w:b/>
                <w:sz w:val="20"/>
                <w:szCs w:val="24"/>
              </w:rPr>
              <w:t>Autor (año)</w:t>
            </w:r>
          </w:p>
        </w:tc>
        <w:tc>
          <w:tcPr>
            <w:tcW w:w="2807" w:type="dxa"/>
            <w:shd w:val="clear" w:color="auto" w:fill="B4C6E7" w:themeFill="accent1" w:themeFillTint="66"/>
          </w:tcPr>
          <w:p w14:paraId="538BD5A2" w14:textId="77777777" w:rsidR="00B85C6A" w:rsidRPr="003B36BC" w:rsidRDefault="00B85C6A" w:rsidP="003B36BC">
            <w:pPr>
              <w:spacing w:after="0" w:line="240" w:lineRule="auto"/>
              <w:jc w:val="center"/>
              <w:rPr>
                <w:rFonts w:ascii="Arial" w:eastAsia="Arial" w:hAnsi="Arial" w:cs="Arial"/>
                <w:b/>
                <w:sz w:val="20"/>
                <w:szCs w:val="24"/>
              </w:rPr>
            </w:pPr>
            <w:r w:rsidRPr="003B36BC">
              <w:rPr>
                <w:rFonts w:ascii="Arial" w:eastAsia="Arial" w:hAnsi="Arial" w:cs="Arial"/>
                <w:b/>
                <w:sz w:val="20"/>
                <w:szCs w:val="24"/>
              </w:rPr>
              <w:t>Metodología</w:t>
            </w:r>
          </w:p>
        </w:tc>
        <w:tc>
          <w:tcPr>
            <w:tcW w:w="2410" w:type="dxa"/>
            <w:shd w:val="clear" w:color="auto" w:fill="B4C6E7" w:themeFill="accent1" w:themeFillTint="66"/>
          </w:tcPr>
          <w:p w14:paraId="368F9D31" w14:textId="77777777" w:rsidR="00B85C6A" w:rsidRPr="003B36BC" w:rsidRDefault="00B85C6A" w:rsidP="003B36BC">
            <w:pPr>
              <w:spacing w:after="0" w:line="240" w:lineRule="auto"/>
              <w:jc w:val="center"/>
              <w:rPr>
                <w:rFonts w:ascii="Arial" w:eastAsia="Arial" w:hAnsi="Arial" w:cs="Arial"/>
                <w:b/>
                <w:sz w:val="20"/>
                <w:szCs w:val="24"/>
              </w:rPr>
            </w:pPr>
            <w:r w:rsidRPr="003B36BC">
              <w:rPr>
                <w:rFonts w:ascii="Arial" w:eastAsia="Arial" w:hAnsi="Arial" w:cs="Arial"/>
                <w:b/>
                <w:sz w:val="20"/>
                <w:szCs w:val="24"/>
              </w:rPr>
              <w:t>Resultados</w:t>
            </w:r>
          </w:p>
        </w:tc>
        <w:tc>
          <w:tcPr>
            <w:tcW w:w="2119" w:type="dxa"/>
            <w:shd w:val="clear" w:color="auto" w:fill="B4C6E7" w:themeFill="accent1" w:themeFillTint="66"/>
          </w:tcPr>
          <w:p w14:paraId="3E8E2583" w14:textId="77777777" w:rsidR="00B85C6A" w:rsidRPr="003B36BC" w:rsidRDefault="00B85C6A" w:rsidP="003B36BC">
            <w:pPr>
              <w:spacing w:after="0" w:line="240" w:lineRule="auto"/>
              <w:jc w:val="center"/>
              <w:rPr>
                <w:rFonts w:ascii="Arial" w:eastAsia="Arial" w:hAnsi="Arial" w:cs="Arial"/>
                <w:b/>
                <w:sz w:val="20"/>
                <w:szCs w:val="24"/>
              </w:rPr>
            </w:pPr>
            <w:r w:rsidRPr="003B36BC">
              <w:rPr>
                <w:rFonts w:ascii="Arial" w:eastAsia="Arial" w:hAnsi="Arial" w:cs="Arial"/>
                <w:b/>
                <w:sz w:val="20"/>
                <w:szCs w:val="24"/>
              </w:rPr>
              <w:t>Conclusiones</w:t>
            </w:r>
          </w:p>
        </w:tc>
      </w:tr>
      <w:tr w:rsidR="00B85C6A" w14:paraId="5B4710CC" w14:textId="77777777" w:rsidTr="003B36BC">
        <w:trPr>
          <w:jc w:val="center"/>
        </w:trPr>
        <w:tc>
          <w:tcPr>
            <w:tcW w:w="1724" w:type="dxa"/>
            <w:vAlign w:val="center"/>
          </w:tcPr>
          <w:p w14:paraId="6F970678"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Miller (2025)</w:t>
            </w:r>
          </w:p>
        </w:tc>
        <w:tc>
          <w:tcPr>
            <w:tcW w:w="2807" w:type="dxa"/>
            <w:vAlign w:val="center"/>
          </w:tcPr>
          <w:p w14:paraId="0FE027B4"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Revisión sistemática de literatura sobre IoT-IA en monitoreo ambiental</w:t>
            </w:r>
          </w:p>
        </w:tc>
        <w:tc>
          <w:tcPr>
            <w:tcW w:w="2410" w:type="dxa"/>
            <w:vAlign w:val="center"/>
          </w:tcPr>
          <w:p w14:paraId="255FCC7B"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Identificó que la IA potencia el IoT en modelado predictivo y análisis en tiempo real</w:t>
            </w:r>
          </w:p>
        </w:tc>
        <w:tc>
          <w:tcPr>
            <w:tcW w:w="2119" w:type="dxa"/>
            <w:vAlign w:val="center"/>
          </w:tcPr>
          <w:p w14:paraId="673444FA"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Es esencial integrar IA, blockchain y nube para sistemas sostenibles de monitoreo</w:t>
            </w:r>
          </w:p>
        </w:tc>
      </w:tr>
      <w:tr w:rsidR="00B85C6A" w14:paraId="6A21781E" w14:textId="77777777" w:rsidTr="003B36BC">
        <w:trPr>
          <w:jc w:val="center"/>
        </w:trPr>
        <w:tc>
          <w:tcPr>
            <w:tcW w:w="1724" w:type="dxa"/>
            <w:vAlign w:val="center"/>
          </w:tcPr>
          <w:p w14:paraId="505C441D"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Alshami (2024)</w:t>
            </w:r>
          </w:p>
        </w:tc>
        <w:tc>
          <w:tcPr>
            <w:tcW w:w="2807" w:type="dxa"/>
            <w:vAlign w:val="center"/>
          </w:tcPr>
          <w:p w14:paraId="7EADFCD9"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Revisión sistemática y bibliometría sobre IoT en gestión hídrica</w:t>
            </w:r>
          </w:p>
        </w:tc>
        <w:tc>
          <w:tcPr>
            <w:tcW w:w="2410" w:type="dxa"/>
            <w:vAlign w:val="center"/>
          </w:tcPr>
          <w:p w14:paraId="73CA1BBF"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Identificó sensores y tecnologías de comunicación más usadas (Zigbee, Sigfox)</w:t>
            </w:r>
          </w:p>
        </w:tc>
        <w:tc>
          <w:tcPr>
            <w:tcW w:w="2119" w:type="dxa"/>
            <w:vAlign w:val="center"/>
          </w:tcPr>
          <w:p w14:paraId="2B976599"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Requiere optimización en eficiencia energética, interoperabilidad y protocolos estándar</w:t>
            </w:r>
          </w:p>
        </w:tc>
      </w:tr>
      <w:tr w:rsidR="00B85C6A" w14:paraId="5696B55D" w14:textId="77777777" w:rsidTr="003B36BC">
        <w:trPr>
          <w:jc w:val="center"/>
        </w:trPr>
        <w:tc>
          <w:tcPr>
            <w:tcW w:w="1724" w:type="dxa"/>
            <w:vAlign w:val="center"/>
          </w:tcPr>
          <w:p w14:paraId="210A196D"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Puneeth (2024)</w:t>
            </w:r>
          </w:p>
        </w:tc>
        <w:tc>
          <w:tcPr>
            <w:tcW w:w="2807" w:type="dxa"/>
            <w:vAlign w:val="center"/>
          </w:tcPr>
          <w:p w14:paraId="1B7E2E1C"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Desarrollo de prototipo IoT con sensores y nube</w:t>
            </w:r>
          </w:p>
        </w:tc>
        <w:tc>
          <w:tcPr>
            <w:tcW w:w="2410" w:type="dxa"/>
            <w:vAlign w:val="center"/>
          </w:tcPr>
          <w:p w14:paraId="52BBB4E6"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Permite monitoreo remoto de calidad de agua y detección temprana de contaminación</w:t>
            </w:r>
          </w:p>
        </w:tc>
        <w:tc>
          <w:tcPr>
            <w:tcW w:w="2119" w:type="dxa"/>
            <w:vAlign w:val="center"/>
          </w:tcPr>
          <w:p w14:paraId="0617B566"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Mejora la gestión ambiental, pero necesita validación en escenarios reales</w:t>
            </w:r>
          </w:p>
        </w:tc>
      </w:tr>
      <w:tr w:rsidR="00B85C6A" w14:paraId="40FECF42" w14:textId="77777777" w:rsidTr="003B36BC">
        <w:trPr>
          <w:jc w:val="center"/>
        </w:trPr>
        <w:tc>
          <w:tcPr>
            <w:tcW w:w="1724" w:type="dxa"/>
            <w:vAlign w:val="center"/>
          </w:tcPr>
          <w:p w14:paraId="6EB88A2C"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Vallejo (2024)</w:t>
            </w:r>
          </w:p>
        </w:tc>
        <w:tc>
          <w:tcPr>
            <w:tcW w:w="2807" w:type="dxa"/>
            <w:vAlign w:val="center"/>
          </w:tcPr>
          <w:p w14:paraId="3899AE93"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Prototipo IoT open source con Arduino/ESP32</w:t>
            </w:r>
          </w:p>
        </w:tc>
        <w:tc>
          <w:tcPr>
            <w:tcW w:w="2410" w:type="dxa"/>
            <w:vAlign w:val="center"/>
          </w:tcPr>
          <w:p w14:paraId="7ACB0927"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Monitoreo en tiempo real de temperatura y humedad en entornos mineros</w:t>
            </w:r>
          </w:p>
        </w:tc>
        <w:tc>
          <w:tcPr>
            <w:tcW w:w="2119" w:type="dxa"/>
            <w:vAlign w:val="center"/>
          </w:tcPr>
          <w:p w14:paraId="5A2B0F82"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Escalable para minería pequeña y mediana con bajo costo</w:t>
            </w:r>
          </w:p>
        </w:tc>
      </w:tr>
      <w:tr w:rsidR="00B85C6A" w14:paraId="170EBFC4" w14:textId="77777777" w:rsidTr="003B36BC">
        <w:trPr>
          <w:jc w:val="center"/>
        </w:trPr>
        <w:tc>
          <w:tcPr>
            <w:tcW w:w="1724" w:type="dxa"/>
            <w:vAlign w:val="center"/>
          </w:tcPr>
          <w:p w14:paraId="0A61F970"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Humnabadkar (2024)</w:t>
            </w:r>
          </w:p>
        </w:tc>
        <w:tc>
          <w:tcPr>
            <w:tcW w:w="2807" w:type="dxa"/>
            <w:vAlign w:val="center"/>
          </w:tcPr>
          <w:p w14:paraId="6BAAE4B9"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Revisión de tecnologías IoT, IA y blockchain en gestión de agua</w:t>
            </w:r>
          </w:p>
        </w:tc>
        <w:tc>
          <w:tcPr>
            <w:tcW w:w="2410" w:type="dxa"/>
            <w:vAlign w:val="center"/>
          </w:tcPr>
          <w:p w14:paraId="16157F67"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Evidenció capacidades de predicción y trazabilidad de datos</w:t>
            </w:r>
          </w:p>
        </w:tc>
        <w:tc>
          <w:tcPr>
            <w:tcW w:w="2119" w:type="dxa"/>
            <w:vAlign w:val="center"/>
          </w:tcPr>
          <w:p w14:paraId="51C53F00"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Requiere marcos regulatorios y reducción de costos para adopción masiva</w:t>
            </w:r>
          </w:p>
        </w:tc>
      </w:tr>
      <w:tr w:rsidR="00B85C6A" w14:paraId="0164DD67" w14:textId="77777777" w:rsidTr="003B36BC">
        <w:trPr>
          <w:jc w:val="center"/>
        </w:trPr>
        <w:tc>
          <w:tcPr>
            <w:tcW w:w="1724" w:type="dxa"/>
            <w:vAlign w:val="center"/>
          </w:tcPr>
          <w:p w14:paraId="2BDF70BC"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Bothe (2023)</w:t>
            </w:r>
          </w:p>
        </w:tc>
        <w:tc>
          <w:tcPr>
            <w:tcW w:w="2807" w:type="dxa"/>
            <w:vAlign w:val="center"/>
          </w:tcPr>
          <w:p w14:paraId="35F4AE6B"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Revisión cualitativa del ciclo de vida del agua en minería</w:t>
            </w:r>
          </w:p>
        </w:tc>
        <w:tc>
          <w:tcPr>
            <w:tcW w:w="2410" w:type="dxa"/>
            <w:vAlign w:val="center"/>
          </w:tcPr>
          <w:p w14:paraId="06D41BB6"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Resalta la necesidad de monitoreo continuo en todas las fases</w:t>
            </w:r>
          </w:p>
        </w:tc>
        <w:tc>
          <w:tcPr>
            <w:tcW w:w="2119" w:type="dxa"/>
            <w:vAlign w:val="center"/>
          </w:tcPr>
          <w:p w14:paraId="1237CA9E"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La gestión debe ser integral y circular, priorizando reciclaje y tratamiento</w:t>
            </w:r>
          </w:p>
        </w:tc>
      </w:tr>
      <w:tr w:rsidR="00B85C6A" w14:paraId="37A1E184" w14:textId="77777777" w:rsidTr="003B36BC">
        <w:trPr>
          <w:jc w:val="center"/>
        </w:trPr>
        <w:tc>
          <w:tcPr>
            <w:tcW w:w="1724" w:type="dxa"/>
            <w:vAlign w:val="center"/>
          </w:tcPr>
          <w:p w14:paraId="158E6F45"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Huang (2023)</w:t>
            </w:r>
          </w:p>
        </w:tc>
        <w:tc>
          <w:tcPr>
            <w:tcW w:w="2807" w:type="dxa"/>
            <w:vAlign w:val="center"/>
          </w:tcPr>
          <w:p w14:paraId="144F5C0C"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Estudio de caso geofísico con IoT y resistividad eléctrica 3D</w:t>
            </w:r>
          </w:p>
        </w:tc>
        <w:tc>
          <w:tcPr>
            <w:tcW w:w="2410" w:type="dxa"/>
            <w:vAlign w:val="center"/>
          </w:tcPr>
          <w:p w14:paraId="438AFD42"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Detectó zonas de riesgo de ingreso de agua en minas subterráneas</w:t>
            </w:r>
          </w:p>
        </w:tc>
        <w:tc>
          <w:tcPr>
            <w:tcW w:w="2119" w:type="dxa"/>
            <w:vAlign w:val="center"/>
          </w:tcPr>
          <w:p w14:paraId="46229459"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Permite diseñar pilares de protección más seguros y económicos</w:t>
            </w:r>
          </w:p>
        </w:tc>
      </w:tr>
      <w:tr w:rsidR="00B85C6A" w14:paraId="040C3E0A" w14:textId="77777777" w:rsidTr="003B36BC">
        <w:trPr>
          <w:jc w:val="center"/>
        </w:trPr>
        <w:tc>
          <w:tcPr>
            <w:tcW w:w="1724" w:type="dxa"/>
            <w:vAlign w:val="center"/>
          </w:tcPr>
          <w:p w14:paraId="58554DDB"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Shaikh (2023)</w:t>
            </w:r>
          </w:p>
        </w:tc>
        <w:tc>
          <w:tcPr>
            <w:tcW w:w="2807" w:type="dxa"/>
            <w:vAlign w:val="center"/>
          </w:tcPr>
          <w:p w14:paraId="5B98C0A5"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Revisión de sistemas de monitoreo de agua (WMS) basados en IoT</w:t>
            </w:r>
          </w:p>
        </w:tc>
        <w:tc>
          <w:tcPr>
            <w:tcW w:w="2410" w:type="dxa"/>
            <w:vAlign w:val="center"/>
          </w:tcPr>
          <w:p w14:paraId="0E235DF9"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Sistemas reducen intervención manual y mejoran eficiencia de monitoreo</w:t>
            </w:r>
          </w:p>
        </w:tc>
        <w:tc>
          <w:tcPr>
            <w:tcW w:w="2119" w:type="dxa"/>
            <w:vAlign w:val="center"/>
          </w:tcPr>
          <w:p w14:paraId="7DD8DFBC"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Fomentar WMS inteligentes y económicos en contextos con recursos limitados</w:t>
            </w:r>
          </w:p>
        </w:tc>
      </w:tr>
      <w:tr w:rsidR="00B85C6A" w14:paraId="3CA579B9" w14:textId="77777777" w:rsidTr="003B36BC">
        <w:trPr>
          <w:jc w:val="center"/>
        </w:trPr>
        <w:tc>
          <w:tcPr>
            <w:tcW w:w="1724" w:type="dxa"/>
            <w:vAlign w:val="center"/>
          </w:tcPr>
          <w:p w14:paraId="64B4BA28"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Bo (2023)</w:t>
            </w:r>
          </w:p>
        </w:tc>
        <w:tc>
          <w:tcPr>
            <w:tcW w:w="2807" w:type="dxa"/>
            <w:vAlign w:val="center"/>
          </w:tcPr>
          <w:p w14:paraId="0456770A"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Modelo IoT en nube con sensores para optimización hídrica</w:t>
            </w:r>
          </w:p>
        </w:tc>
        <w:tc>
          <w:tcPr>
            <w:tcW w:w="2410" w:type="dxa"/>
            <w:vAlign w:val="center"/>
          </w:tcPr>
          <w:p w14:paraId="04215A55"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Elevó la tasa de reutilización de agua mediante análisis en tiempo real</w:t>
            </w:r>
          </w:p>
        </w:tc>
        <w:tc>
          <w:tcPr>
            <w:tcW w:w="2119" w:type="dxa"/>
            <w:vAlign w:val="center"/>
          </w:tcPr>
          <w:p w14:paraId="0E931BFD"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Facilita la toma de decisiones en gestión integral del agua en minas</w:t>
            </w:r>
          </w:p>
        </w:tc>
      </w:tr>
      <w:tr w:rsidR="00B85C6A" w14:paraId="237E8601" w14:textId="77777777" w:rsidTr="003B36BC">
        <w:trPr>
          <w:jc w:val="center"/>
        </w:trPr>
        <w:tc>
          <w:tcPr>
            <w:tcW w:w="1724" w:type="dxa"/>
            <w:vAlign w:val="center"/>
          </w:tcPr>
          <w:p w14:paraId="333B8C9E"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Monteiro (2022)</w:t>
            </w:r>
          </w:p>
        </w:tc>
        <w:tc>
          <w:tcPr>
            <w:tcW w:w="2807" w:type="dxa"/>
            <w:vAlign w:val="center"/>
          </w:tcPr>
          <w:p w14:paraId="0E8E5E25"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Modelo de simulación dinámica de planificación hídrica</w:t>
            </w:r>
          </w:p>
        </w:tc>
        <w:tc>
          <w:tcPr>
            <w:tcW w:w="2410" w:type="dxa"/>
            <w:vAlign w:val="center"/>
          </w:tcPr>
          <w:p w14:paraId="06BE75A1"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Predicciones de demanda de agua con error &lt;5%</w:t>
            </w:r>
          </w:p>
        </w:tc>
        <w:tc>
          <w:tcPr>
            <w:tcW w:w="2119" w:type="dxa"/>
            <w:vAlign w:val="center"/>
          </w:tcPr>
          <w:p w14:paraId="53B36034"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Mejora el manejo integral del agua en minas profundas a largo plazo</w:t>
            </w:r>
          </w:p>
        </w:tc>
      </w:tr>
      <w:tr w:rsidR="00B85C6A" w14:paraId="23DA9B8A" w14:textId="77777777" w:rsidTr="003B36BC">
        <w:trPr>
          <w:jc w:val="center"/>
        </w:trPr>
        <w:tc>
          <w:tcPr>
            <w:tcW w:w="1724" w:type="dxa"/>
            <w:vAlign w:val="center"/>
          </w:tcPr>
          <w:p w14:paraId="47E7A968"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Fang (2022)</w:t>
            </w:r>
          </w:p>
        </w:tc>
        <w:tc>
          <w:tcPr>
            <w:tcW w:w="2807" w:type="dxa"/>
            <w:vAlign w:val="center"/>
          </w:tcPr>
          <w:p w14:paraId="1D5ADAD7"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Experimento de fermentación anaerobia con residuos</w:t>
            </w:r>
          </w:p>
        </w:tc>
        <w:tc>
          <w:tcPr>
            <w:tcW w:w="2410" w:type="dxa"/>
            <w:vAlign w:val="center"/>
          </w:tcPr>
          <w:p w14:paraId="418A3EB3"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Incrementó microorganismos y eficiencia de producción de ácidos grasos volátiles</w:t>
            </w:r>
          </w:p>
        </w:tc>
        <w:tc>
          <w:tcPr>
            <w:tcW w:w="2119" w:type="dxa"/>
            <w:vAlign w:val="center"/>
          </w:tcPr>
          <w:p w14:paraId="6F9435A3"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Propuesta sostenible para tratamiento y recuperación en aguas residuales</w:t>
            </w:r>
          </w:p>
        </w:tc>
      </w:tr>
      <w:tr w:rsidR="00B85C6A" w14:paraId="2096FD03" w14:textId="77777777" w:rsidTr="003B36BC">
        <w:trPr>
          <w:jc w:val="center"/>
        </w:trPr>
        <w:tc>
          <w:tcPr>
            <w:tcW w:w="1724" w:type="dxa"/>
            <w:vAlign w:val="center"/>
          </w:tcPr>
          <w:p w14:paraId="148DB136"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Choubey (2022)</w:t>
            </w:r>
          </w:p>
        </w:tc>
        <w:tc>
          <w:tcPr>
            <w:tcW w:w="2807" w:type="dxa"/>
            <w:vAlign w:val="center"/>
          </w:tcPr>
          <w:p w14:paraId="1AD42150"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Prototipo IoT con sensores ultrasónicos y control automático</w:t>
            </w:r>
          </w:p>
        </w:tc>
        <w:tc>
          <w:tcPr>
            <w:tcW w:w="2410" w:type="dxa"/>
            <w:vAlign w:val="center"/>
          </w:tcPr>
          <w:p w14:paraId="570EB27C"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Monitoreo en tiempo real y activación de bombas de agua</w:t>
            </w:r>
          </w:p>
        </w:tc>
        <w:tc>
          <w:tcPr>
            <w:tcW w:w="2119" w:type="dxa"/>
            <w:vAlign w:val="center"/>
          </w:tcPr>
          <w:p w14:paraId="69E21044"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Reduce desperdicio hídrico, requiere validación a gran escala</w:t>
            </w:r>
          </w:p>
        </w:tc>
      </w:tr>
      <w:tr w:rsidR="00B85C6A" w14:paraId="3EBC94A7" w14:textId="77777777" w:rsidTr="003B36BC">
        <w:trPr>
          <w:jc w:val="center"/>
        </w:trPr>
        <w:tc>
          <w:tcPr>
            <w:tcW w:w="1724" w:type="dxa"/>
            <w:vAlign w:val="center"/>
          </w:tcPr>
          <w:p w14:paraId="5B751CAD"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Bo (2022)</w:t>
            </w:r>
          </w:p>
        </w:tc>
        <w:tc>
          <w:tcPr>
            <w:tcW w:w="2807" w:type="dxa"/>
            <w:vAlign w:val="center"/>
          </w:tcPr>
          <w:p w14:paraId="36DA08B7"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Desarrollo de red IoT multisensor para agua en minas</w:t>
            </w:r>
          </w:p>
        </w:tc>
        <w:tc>
          <w:tcPr>
            <w:tcW w:w="2410" w:type="dxa"/>
            <w:vAlign w:val="center"/>
          </w:tcPr>
          <w:p w14:paraId="658D3596"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Monitoreo continuo y detección de datos atípicos</w:t>
            </w:r>
          </w:p>
        </w:tc>
        <w:tc>
          <w:tcPr>
            <w:tcW w:w="2119" w:type="dxa"/>
            <w:vAlign w:val="center"/>
          </w:tcPr>
          <w:p w14:paraId="754DA4EA"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Confiable para decisiones operativas en gestión hídrica subterránea</w:t>
            </w:r>
          </w:p>
        </w:tc>
      </w:tr>
      <w:tr w:rsidR="00B85C6A" w14:paraId="09055C49" w14:textId="77777777" w:rsidTr="003B36BC">
        <w:trPr>
          <w:jc w:val="center"/>
        </w:trPr>
        <w:tc>
          <w:tcPr>
            <w:tcW w:w="1724" w:type="dxa"/>
            <w:vAlign w:val="center"/>
          </w:tcPr>
          <w:p w14:paraId="639F9705"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Nguyen (2022)</w:t>
            </w:r>
          </w:p>
        </w:tc>
        <w:tc>
          <w:tcPr>
            <w:tcW w:w="2807" w:type="dxa"/>
            <w:vAlign w:val="center"/>
          </w:tcPr>
          <w:p w14:paraId="7C71782C"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Sistema IoT para monitoreo de polvo y supresión de agua</w:t>
            </w:r>
          </w:p>
        </w:tc>
        <w:tc>
          <w:tcPr>
            <w:tcW w:w="2410" w:type="dxa"/>
            <w:vAlign w:val="center"/>
          </w:tcPr>
          <w:p w14:paraId="281C3CA0"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Detectó polvo y activó sistemas de aspersión automáticamente</w:t>
            </w:r>
          </w:p>
        </w:tc>
        <w:tc>
          <w:tcPr>
            <w:tcW w:w="2119" w:type="dxa"/>
            <w:vAlign w:val="center"/>
          </w:tcPr>
          <w:p w14:paraId="5E4E9DB7"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Redujo uso de agua y mejoró seguridad en plantas de carbón</w:t>
            </w:r>
          </w:p>
        </w:tc>
      </w:tr>
      <w:tr w:rsidR="00B85C6A" w14:paraId="465DD2BC" w14:textId="77777777" w:rsidTr="003B36BC">
        <w:trPr>
          <w:jc w:val="center"/>
        </w:trPr>
        <w:tc>
          <w:tcPr>
            <w:tcW w:w="1724" w:type="dxa"/>
            <w:vAlign w:val="center"/>
          </w:tcPr>
          <w:p w14:paraId="2DB21817"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Leuenberger (2021)</w:t>
            </w:r>
          </w:p>
        </w:tc>
        <w:tc>
          <w:tcPr>
            <w:tcW w:w="2807" w:type="dxa"/>
            <w:vAlign w:val="center"/>
          </w:tcPr>
          <w:p w14:paraId="2452ED58"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Métodos mixtos geoespaciales sobre agua y salud en minería</w:t>
            </w:r>
          </w:p>
        </w:tc>
        <w:tc>
          <w:tcPr>
            <w:tcW w:w="2410" w:type="dxa"/>
            <w:vAlign w:val="center"/>
          </w:tcPr>
          <w:p w14:paraId="1C680B48"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Mejoró la infraestructura hídrica, pero persistieron problemas de calidad</w:t>
            </w:r>
          </w:p>
        </w:tc>
        <w:tc>
          <w:tcPr>
            <w:tcW w:w="2119" w:type="dxa"/>
            <w:vAlign w:val="center"/>
          </w:tcPr>
          <w:p w14:paraId="5E85997A"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Necesario fortalecer políticas de salud y calidad de agua en zonas mineras</w:t>
            </w:r>
          </w:p>
        </w:tc>
      </w:tr>
      <w:tr w:rsidR="00B85C6A" w14:paraId="4E7ECF88" w14:textId="77777777" w:rsidTr="003B36BC">
        <w:trPr>
          <w:jc w:val="center"/>
        </w:trPr>
        <w:tc>
          <w:tcPr>
            <w:tcW w:w="1724" w:type="dxa"/>
            <w:vAlign w:val="center"/>
          </w:tcPr>
          <w:p w14:paraId="186A41FA"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Maseeh (2021)</w:t>
            </w:r>
          </w:p>
        </w:tc>
        <w:tc>
          <w:tcPr>
            <w:tcW w:w="2807" w:type="dxa"/>
            <w:vAlign w:val="center"/>
          </w:tcPr>
          <w:p w14:paraId="3F71D8D4"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Revisión de IoT y TIC en gestión inteligente de agua</w:t>
            </w:r>
          </w:p>
        </w:tc>
        <w:tc>
          <w:tcPr>
            <w:tcW w:w="2410" w:type="dxa"/>
            <w:vAlign w:val="center"/>
          </w:tcPr>
          <w:p w14:paraId="0D982206"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IoT permite control automático y reducción de desperdicios</w:t>
            </w:r>
          </w:p>
        </w:tc>
        <w:tc>
          <w:tcPr>
            <w:tcW w:w="2119" w:type="dxa"/>
            <w:vAlign w:val="center"/>
          </w:tcPr>
          <w:p w14:paraId="205DEDF7"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Necesidad de sistemas más integrados y adaptados a distintos contextos</w:t>
            </w:r>
          </w:p>
        </w:tc>
      </w:tr>
      <w:tr w:rsidR="00B85C6A" w14:paraId="17174811" w14:textId="77777777" w:rsidTr="003B36BC">
        <w:trPr>
          <w:jc w:val="center"/>
        </w:trPr>
        <w:tc>
          <w:tcPr>
            <w:tcW w:w="1724" w:type="dxa"/>
            <w:vAlign w:val="center"/>
          </w:tcPr>
          <w:p w14:paraId="71EC7416"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Shafaei (2021)</w:t>
            </w:r>
          </w:p>
        </w:tc>
        <w:tc>
          <w:tcPr>
            <w:tcW w:w="2807" w:type="dxa"/>
            <w:vAlign w:val="center"/>
          </w:tcPr>
          <w:p w14:paraId="172E6E79"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Ensayo experimental de deshidratación de relaves (EDW)</w:t>
            </w:r>
          </w:p>
        </w:tc>
        <w:tc>
          <w:tcPr>
            <w:tcW w:w="2410" w:type="dxa"/>
            <w:vAlign w:val="center"/>
          </w:tcPr>
          <w:p w14:paraId="6B50E2CF"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Aumentó la recuperación de agua al incrementar voltaje aplicado</w:t>
            </w:r>
          </w:p>
        </w:tc>
        <w:tc>
          <w:tcPr>
            <w:tcW w:w="2119" w:type="dxa"/>
            <w:vAlign w:val="center"/>
          </w:tcPr>
          <w:p w14:paraId="191A0AA6"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Técnica prometedora para economía circular en minería</w:t>
            </w:r>
          </w:p>
        </w:tc>
      </w:tr>
      <w:tr w:rsidR="00B85C6A" w14:paraId="0F05CE3A" w14:textId="77777777" w:rsidTr="003B36BC">
        <w:trPr>
          <w:jc w:val="center"/>
        </w:trPr>
        <w:tc>
          <w:tcPr>
            <w:tcW w:w="1724" w:type="dxa"/>
            <w:vAlign w:val="center"/>
          </w:tcPr>
          <w:p w14:paraId="73346BC5"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Kagiso (2020)</w:t>
            </w:r>
          </w:p>
        </w:tc>
        <w:tc>
          <w:tcPr>
            <w:tcW w:w="2807" w:type="dxa"/>
            <w:vAlign w:val="center"/>
          </w:tcPr>
          <w:p w14:paraId="3D175C3A"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Revisión de tecnologías digitales (IoT, IA, WSN, drones)</w:t>
            </w:r>
          </w:p>
        </w:tc>
        <w:tc>
          <w:tcPr>
            <w:tcW w:w="2410" w:type="dxa"/>
            <w:vAlign w:val="center"/>
          </w:tcPr>
          <w:p w14:paraId="4439FA0E"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Resaltó redes de sensores inalámbricos para monitoreo</w:t>
            </w:r>
          </w:p>
        </w:tc>
        <w:tc>
          <w:tcPr>
            <w:tcW w:w="2119" w:type="dxa"/>
            <w:vAlign w:val="center"/>
          </w:tcPr>
          <w:p w14:paraId="7F3AD4E2"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Adopción de tecnologías emergentes mejorará seguridad y eficiencia</w:t>
            </w:r>
          </w:p>
        </w:tc>
      </w:tr>
      <w:tr w:rsidR="00B85C6A" w14:paraId="4F235F70" w14:textId="77777777" w:rsidTr="003B36BC">
        <w:trPr>
          <w:jc w:val="center"/>
        </w:trPr>
        <w:tc>
          <w:tcPr>
            <w:tcW w:w="1724" w:type="dxa"/>
            <w:vAlign w:val="center"/>
          </w:tcPr>
          <w:p w14:paraId="6CC53EBD"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Molaei (2020)</w:t>
            </w:r>
          </w:p>
        </w:tc>
        <w:tc>
          <w:tcPr>
            <w:tcW w:w="2807" w:type="dxa"/>
            <w:vAlign w:val="center"/>
          </w:tcPr>
          <w:p w14:paraId="6604D749"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Revisión de aplicaciones IoT en procesos mineros</w:t>
            </w:r>
          </w:p>
        </w:tc>
        <w:tc>
          <w:tcPr>
            <w:tcW w:w="2410" w:type="dxa"/>
            <w:vAlign w:val="center"/>
          </w:tcPr>
          <w:p w14:paraId="62C40AD2"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Mejoró monitoreo de maquinaria y seguridad</w:t>
            </w:r>
          </w:p>
        </w:tc>
        <w:tc>
          <w:tcPr>
            <w:tcW w:w="2119" w:type="dxa"/>
            <w:vAlign w:val="center"/>
          </w:tcPr>
          <w:p w14:paraId="15E00B6F"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Necesario desarrollar modelos IoT más integrados y flexibles</w:t>
            </w:r>
          </w:p>
        </w:tc>
      </w:tr>
      <w:tr w:rsidR="00B85C6A" w14:paraId="6C6CDF3E" w14:textId="77777777" w:rsidTr="003B36BC">
        <w:trPr>
          <w:jc w:val="center"/>
        </w:trPr>
        <w:tc>
          <w:tcPr>
            <w:tcW w:w="1724" w:type="dxa"/>
            <w:vAlign w:val="center"/>
          </w:tcPr>
          <w:p w14:paraId="1B113BC8"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Zhenguo (2020)</w:t>
            </w:r>
          </w:p>
        </w:tc>
        <w:tc>
          <w:tcPr>
            <w:tcW w:w="2807" w:type="dxa"/>
            <w:vAlign w:val="center"/>
          </w:tcPr>
          <w:p w14:paraId="7F2F374D"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IoT + regresión múltiple para predecir zonas de agua</w:t>
            </w:r>
          </w:p>
        </w:tc>
        <w:tc>
          <w:tcPr>
            <w:tcW w:w="2410" w:type="dxa"/>
            <w:vAlign w:val="center"/>
          </w:tcPr>
          <w:p w14:paraId="51698865"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Mejoró precisión en la estimación de altura de zonas de conducción de agua</w:t>
            </w:r>
          </w:p>
        </w:tc>
        <w:tc>
          <w:tcPr>
            <w:tcW w:w="2119" w:type="dxa"/>
            <w:vAlign w:val="center"/>
          </w:tcPr>
          <w:p w14:paraId="58A27B9B" w14:textId="77777777" w:rsidR="00B85C6A" w:rsidRPr="003B36BC" w:rsidRDefault="00B85C6A" w:rsidP="003B36BC">
            <w:pPr>
              <w:spacing w:after="0" w:line="240" w:lineRule="auto"/>
              <w:jc w:val="center"/>
              <w:rPr>
                <w:rFonts w:eastAsia="Arial" w:cs="Calibri"/>
                <w:sz w:val="20"/>
                <w:szCs w:val="20"/>
              </w:rPr>
            </w:pPr>
            <w:r w:rsidRPr="003B36BC">
              <w:rPr>
                <w:rFonts w:eastAsia="Arial" w:cs="Calibri"/>
                <w:sz w:val="20"/>
                <w:szCs w:val="20"/>
              </w:rPr>
              <w:t>Herramienta útil para prevenir ingreso de agua en minas de carbón</w:t>
            </w:r>
          </w:p>
        </w:tc>
      </w:tr>
    </w:tbl>
    <w:p w14:paraId="09D1327B" w14:textId="3D2493B0" w:rsidR="00B85C6A" w:rsidRDefault="00B85C6A" w:rsidP="00E271E2">
      <w:pPr>
        <w:spacing w:after="0" w:line="240" w:lineRule="auto"/>
        <w:ind w:firstLine="709"/>
        <w:jc w:val="both"/>
        <w:rPr>
          <w:rFonts w:ascii="Arial" w:hAnsi="Arial" w:cs="Arial"/>
          <w:color w:val="000000" w:themeColor="text1"/>
          <w:sz w:val="20"/>
          <w:szCs w:val="20"/>
        </w:rPr>
      </w:pPr>
    </w:p>
    <w:p w14:paraId="6348BF9A" w14:textId="77777777" w:rsidR="007A1E6B" w:rsidRPr="007A1E6B" w:rsidRDefault="007A1E6B" w:rsidP="007A1E6B">
      <w:pPr>
        <w:spacing w:after="0" w:line="240" w:lineRule="auto"/>
        <w:ind w:firstLine="709"/>
        <w:jc w:val="both"/>
        <w:rPr>
          <w:rFonts w:ascii="Arial" w:hAnsi="Arial" w:cs="Arial"/>
          <w:color w:val="000000" w:themeColor="text1"/>
          <w:sz w:val="20"/>
          <w:szCs w:val="20"/>
        </w:rPr>
      </w:pPr>
      <w:r w:rsidRPr="007A1E6B">
        <w:rPr>
          <w:rFonts w:ascii="Arial" w:hAnsi="Arial" w:cs="Arial"/>
          <w:color w:val="000000" w:themeColor="text1"/>
          <w:sz w:val="20"/>
          <w:szCs w:val="20"/>
        </w:rPr>
        <w:t>La discusión de los resultados se organiza en torno a cinco ejes temáticos que estructuran esta investigación:</w:t>
      </w:r>
    </w:p>
    <w:p w14:paraId="78EB6EAD" w14:textId="77777777" w:rsidR="007A1E6B" w:rsidRPr="007A1E6B" w:rsidRDefault="007A1E6B" w:rsidP="007A1E6B">
      <w:pPr>
        <w:spacing w:after="0" w:line="240" w:lineRule="auto"/>
        <w:ind w:firstLine="709"/>
        <w:jc w:val="both"/>
        <w:rPr>
          <w:rFonts w:ascii="Arial" w:hAnsi="Arial" w:cs="Arial"/>
          <w:color w:val="000000" w:themeColor="text1"/>
          <w:sz w:val="20"/>
          <w:szCs w:val="20"/>
        </w:rPr>
      </w:pPr>
    </w:p>
    <w:p w14:paraId="7B01ED16" w14:textId="77777777" w:rsidR="007A1E6B" w:rsidRPr="007A1E6B" w:rsidRDefault="007A1E6B" w:rsidP="007A1E6B">
      <w:pPr>
        <w:spacing w:after="0" w:line="240" w:lineRule="auto"/>
        <w:jc w:val="both"/>
        <w:rPr>
          <w:rFonts w:ascii="Arial" w:hAnsi="Arial" w:cs="Arial"/>
          <w:b/>
          <w:color w:val="000000" w:themeColor="text1"/>
          <w:sz w:val="20"/>
          <w:szCs w:val="20"/>
        </w:rPr>
      </w:pPr>
      <w:r w:rsidRPr="007A1E6B">
        <w:rPr>
          <w:rFonts w:ascii="Arial" w:hAnsi="Arial" w:cs="Arial"/>
          <w:b/>
          <w:color w:val="000000" w:themeColor="text1"/>
          <w:sz w:val="20"/>
          <w:szCs w:val="20"/>
        </w:rPr>
        <w:t>1. Tecnologías y metodologías IoT</w:t>
      </w:r>
    </w:p>
    <w:p w14:paraId="13F16A25" w14:textId="77777777" w:rsidR="007A1E6B" w:rsidRPr="007A1E6B" w:rsidRDefault="007A1E6B" w:rsidP="007A1E6B">
      <w:pPr>
        <w:spacing w:after="0" w:line="240" w:lineRule="auto"/>
        <w:ind w:firstLine="709"/>
        <w:jc w:val="both"/>
        <w:rPr>
          <w:rFonts w:ascii="Arial" w:hAnsi="Arial" w:cs="Arial"/>
          <w:color w:val="000000" w:themeColor="text1"/>
          <w:sz w:val="20"/>
          <w:szCs w:val="20"/>
        </w:rPr>
      </w:pPr>
      <w:r w:rsidRPr="007A1E6B">
        <w:rPr>
          <w:rFonts w:ascii="Arial" w:hAnsi="Arial" w:cs="Arial"/>
          <w:color w:val="000000" w:themeColor="text1"/>
          <w:sz w:val="20"/>
          <w:szCs w:val="20"/>
        </w:rPr>
        <w:t>Los estudios analizados evidencian un notable avance en el desarrollo de tecnologías y metodologías basadas en IoT para la gestión hídrica en el sector minero. Investigaciones como las de Alshami (2024), Bo (2022, 2023), Choubey (2022), Fang (2022), Puneeth (2024), Vallejo (2024), Nguyen (2022) y Shaikh (2023) destacan el diseño de prototipos y redes de sensores inteligentes que permiten monitorear en tiempo real parámetros críticos como el nivel, pH, turbidez y conductividad del agua. Estos sistemas, integrados con microcontroladores como Arduino y ESP32, y módulos de comunicación LoRa conectados a plataformas en la nube, han demostrado ser eficaces en la recolección y procesamiento de datos. No obstante, la mayoría de las pruebas se han realizado en entornos controlados, lo que limita su validez externa en contextos mineros reales.</w:t>
      </w:r>
    </w:p>
    <w:p w14:paraId="2F81B860" w14:textId="77777777" w:rsidR="007A1E6B" w:rsidRPr="007A1E6B" w:rsidRDefault="007A1E6B" w:rsidP="007A1E6B">
      <w:pPr>
        <w:spacing w:after="0" w:line="240" w:lineRule="auto"/>
        <w:ind w:firstLine="709"/>
        <w:jc w:val="both"/>
        <w:rPr>
          <w:rFonts w:ascii="Arial" w:hAnsi="Arial" w:cs="Arial"/>
          <w:color w:val="000000" w:themeColor="text1"/>
          <w:sz w:val="20"/>
          <w:szCs w:val="20"/>
        </w:rPr>
      </w:pPr>
    </w:p>
    <w:p w14:paraId="1E8B17CA" w14:textId="77777777" w:rsidR="007A1E6B" w:rsidRPr="007A1E6B" w:rsidRDefault="007A1E6B" w:rsidP="007A1E6B">
      <w:pPr>
        <w:spacing w:after="0" w:line="240" w:lineRule="auto"/>
        <w:jc w:val="both"/>
        <w:rPr>
          <w:rFonts w:ascii="Arial" w:hAnsi="Arial" w:cs="Arial"/>
          <w:b/>
          <w:color w:val="000000" w:themeColor="text1"/>
          <w:sz w:val="20"/>
          <w:szCs w:val="20"/>
        </w:rPr>
      </w:pPr>
      <w:r w:rsidRPr="007A1E6B">
        <w:rPr>
          <w:rFonts w:ascii="Arial" w:hAnsi="Arial" w:cs="Arial"/>
          <w:b/>
          <w:color w:val="000000" w:themeColor="text1"/>
          <w:sz w:val="20"/>
          <w:szCs w:val="20"/>
        </w:rPr>
        <w:t>2. Impacto en la gestión sostenible del agua</w:t>
      </w:r>
    </w:p>
    <w:p w14:paraId="591C5CD9" w14:textId="77777777" w:rsidR="007A1E6B" w:rsidRPr="007A1E6B" w:rsidRDefault="007A1E6B" w:rsidP="007A1E6B">
      <w:pPr>
        <w:spacing w:after="0" w:line="240" w:lineRule="auto"/>
        <w:ind w:firstLine="709"/>
        <w:jc w:val="both"/>
        <w:rPr>
          <w:rFonts w:ascii="Arial" w:hAnsi="Arial" w:cs="Arial"/>
          <w:color w:val="000000" w:themeColor="text1"/>
          <w:sz w:val="20"/>
          <w:szCs w:val="20"/>
        </w:rPr>
      </w:pPr>
      <w:r w:rsidRPr="007A1E6B">
        <w:rPr>
          <w:rFonts w:ascii="Arial" w:hAnsi="Arial" w:cs="Arial"/>
          <w:color w:val="000000" w:themeColor="text1"/>
          <w:sz w:val="20"/>
          <w:szCs w:val="20"/>
        </w:rPr>
        <w:t>Con respecto al impacto ambiental y operativo del IoT en la gestión del recurso hídrico, estudios como los de Monteiro (2022), Shafaei (2021), Bothe (2023), Huang (2023), Leuenberger (2021), Kagiso (2020) y Zhenguo (2020) reportan mejoras significativas en la eficiencia del consumo de agua, la detección temprana de fugas y la optimización de procesos de tratamiento y reciclaje. Monteiro (2022) y Shafaei (2021) demuestran que la integración de sensores con modelos predictivos puede reducir significativamente las pérdidas hídricas y optimizar su uso a lo largo de las operaciones mineras. Sin embargo, el éxito de estos sistemas depende en gran medida de una implementación adecuada, del mantenimiento constante y de su capacidad de adaptación a distintos entornos.</w:t>
      </w:r>
    </w:p>
    <w:p w14:paraId="3022E113" w14:textId="77777777" w:rsidR="007A1E6B" w:rsidRPr="007A1E6B" w:rsidRDefault="007A1E6B" w:rsidP="007A1E6B">
      <w:pPr>
        <w:spacing w:after="0" w:line="240" w:lineRule="auto"/>
        <w:ind w:firstLine="709"/>
        <w:jc w:val="both"/>
        <w:rPr>
          <w:rFonts w:ascii="Arial" w:hAnsi="Arial" w:cs="Arial"/>
          <w:color w:val="000000" w:themeColor="text1"/>
          <w:sz w:val="20"/>
          <w:szCs w:val="20"/>
        </w:rPr>
      </w:pPr>
    </w:p>
    <w:p w14:paraId="4521737D" w14:textId="77777777" w:rsidR="007A1E6B" w:rsidRPr="007A1E6B" w:rsidRDefault="007A1E6B" w:rsidP="007A1E6B">
      <w:pPr>
        <w:spacing w:after="0" w:line="240" w:lineRule="auto"/>
        <w:jc w:val="both"/>
        <w:rPr>
          <w:rFonts w:ascii="Arial" w:hAnsi="Arial" w:cs="Arial"/>
          <w:b/>
          <w:color w:val="000000" w:themeColor="text1"/>
          <w:sz w:val="20"/>
          <w:szCs w:val="20"/>
        </w:rPr>
      </w:pPr>
      <w:r w:rsidRPr="007A1E6B">
        <w:rPr>
          <w:rFonts w:ascii="Arial" w:hAnsi="Arial" w:cs="Arial"/>
          <w:b/>
          <w:color w:val="000000" w:themeColor="text1"/>
          <w:sz w:val="20"/>
          <w:szCs w:val="20"/>
        </w:rPr>
        <w:t>3. Integración con tecnologías emergentes</w:t>
      </w:r>
    </w:p>
    <w:p w14:paraId="2F58573B" w14:textId="77777777" w:rsidR="007A1E6B" w:rsidRPr="007A1E6B" w:rsidRDefault="007A1E6B" w:rsidP="007A1E6B">
      <w:pPr>
        <w:spacing w:after="0" w:line="240" w:lineRule="auto"/>
        <w:ind w:firstLine="709"/>
        <w:jc w:val="both"/>
        <w:rPr>
          <w:rFonts w:ascii="Arial" w:hAnsi="Arial" w:cs="Arial"/>
          <w:color w:val="000000" w:themeColor="text1"/>
          <w:sz w:val="20"/>
          <w:szCs w:val="20"/>
        </w:rPr>
      </w:pPr>
      <w:r w:rsidRPr="007A1E6B">
        <w:rPr>
          <w:rFonts w:ascii="Arial" w:hAnsi="Arial" w:cs="Arial"/>
          <w:color w:val="000000" w:themeColor="text1"/>
          <w:sz w:val="20"/>
          <w:szCs w:val="20"/>
        </w:rPr>
        <w:t>Diversos autores destacan el potencial de integrar el IoT con tecnologías emergentes para fortalecer la toma de decisiones ambientales. Investigaciones como las de Miller (2025), Humnabadkar (2024), Alshami (2024), Monteiro (2022), Molaei (2020) y Kagiso (2020) subrayan los beneficios de combinar el IoT con inteligencia artificial, blockchain, big data y algoritmos predictivos. Estas sinergias permiten mejorar la precisión del monitoreo y aumentar la trazabilidad de la información, facilitando la evolución hacia minas inteligentes. A pesar de estos avances, persisten desafíos vinculados con los altos costos, la interoperabilidad de los sistemas y la ausencia de marcos regulatorios que promuevan su adopción a gran escala.</w:t>
      </w:r>
    </w:p>
    <w:p w14:paraId="6B173D96" w14:textId="77777777" w:rsidR="007A1E6B" w:rsidRPr="007A1E6B" w:rsidRDefault="007A1E6B" w:rsidP="007A1E6B">
      <w:pPr>
        <w:spacing w:after="0" w:line="240" w:lineRule="auto"/>
        <w:ind w:firstLine="709"/>
        <w:jc w:val="both"/>
        <w:rPr>
          <w:rFonts w:ascii="Arial" w:hAnsi="Arial" w:cs="Arial"/>
          <w:color w:val="000000" w:themeColor="text1"/>
          <w:sz w:val="20"/>
          <w:szCs w:val="20"/>
        </w:rPr>
      </w:pPr>
    </w:p>
    <w:p w14:paraId="75A28472" w14:textId="77777777" w:rsidR="007A1E6B" w:rsidRPr="007A1E6B" w:rsidRDefault="007A1E6B" w:rsidP="007A1E6B">
      <w:pPr>
        <w:spacing w:after="0" w:line="240" w:lineRule="auto"/>
        <w:jc w:val="both"/>
        <w:rPr>
          <w:rFonts w:ascii="Arial" w:hAnsi="Arial" w:cs="Arial"/>
          <w:b/>
          <w:color w:val="000000" w:themeColor="text1"/>
          <w:sz w:val="20"/>
          <w:szCs w:val="20"/>
        </w:rPr>
      </w:pPr>
      <w:r w:rsidRPr="007A1E6B">
        <w:rPr>
          <w:rFonts w:ascii="Arial" w:hAnsi="Arial" w:cs="Arial"/>
          <w:b/>
          <w:color w:val="000000" w:themeColor="text1"/>
          <w:sz w:val="20"/>
          <w:szCs w:val="20"/>
        </w:rPr>
        <w:t>4. Barreras y desafíos para la adopción</w:t>
      </w:r>
    </w:p>
    <w:p w14:paraId="76C00B69" w14:textId="77777777" w:rsidR="007A1E6B" w:rsidRPr="007A1E6B" w:rsidRDefault="007A1E6B" w:rsidP="007A1E6B">
      <w:pPr>
        <w:spacing w:after="0" w:line="240" w:lineRule="auto"/>
        <w:ind w:firstLine="709"/>
        <w:jc w:val="both"/>
        <w:rPr>
          <w:rFonts w:ascii="Arial" w:hAnsi="Arial" w:cs="Arial"/>
          <w:color w:val="000000" w:themeColor="text1"/>
          <w:sz w:val="20"/>
          <w:szCs w:val="20"/>
        </w:rPr>
      </w:pPr>
      <w:r w:rsidRPr="007A1E6B">
        <w:rPr>
          <w:rFonts w:ascii="Arial" w:hAnsi="Arial" w:cs="Arial"/>
          <w:color w:val="000000" w:themeColor="text1"/>
          <w:sz w:val="20"/>
          <w:szCs w:val="20"/>
        </w:rPr>
        <w:t>Las barreras en la implementación del IoT fueron recurrentes en estudios como los de Leuenberger (2021), Maseeh (2021), Nguyen (2022), Vallejo (2024), Miller (2025), Humnabadkar (2024) y Shaikh (2023). Las principales limitaciones identificadas incluyen la conectividad deficiente en zonas mineras remotas, los elevados costos de instalación y mantenimiento, y la resistencia al cambio por parte de las organizaciones y comunidades. Adicionalmente, los sensores enfrentan desafíos técnicos para operar en condiciones extremas, características del entorno minero, lo cual afecta su durabilidad. Superar estas barreras requerirá inversiones en infraestructura digital, formación técnica especializada y el desarrollo de tecnologías más robustas, adaptadas a contextos geográficos específicos.</w:t>
      </w:r>
    </w:p>
    <w:p w14:paraId="4082C10B" w14:textId="77777777" w:rsidR="007A1E6B" w:rsidRPr="007A1E6B" w:rsidRDefault="007A1E6B" w:rsidP="007A1E6B">
      <w:pPr>
        <w:spacing w:after="0" w:line="240" w:lineRule="auto"/>
        <w:ind w:firstLine="709"/>
        <w:jc w:val="both"/>
        <w:rPr>
          <w:rFonts w:ascii="Arial" w:hAnsi="Arial" w:cs="Arial"/>
          <w:color w:val="000000" w:themeColor="text1"/>
          <w:sz w:val="20"/>
          <w:szCs w:val="20"/>
        </w:rPr>
      </w:pPr>
    </w:p>
    <w:p w14:paraId="73348D3F" w14:textId="77777777" w:rsidR="007A1E6B" w:rsidRPr="007A1E6B" w:rsidRDefault="007A1E6B" w:rsidP="007A1E6B">
      <w:pPr>
        <w:spacing w:after="0" w:line="240" w:lineRule="auto"/>
        <w:jc w:val="both"/>
        <w:rPr>
          <w:rFonts w:ascii="Arial" w:hAnsi="Arial" w:cs="Arial"/>
          <w:b/>
          <w:color w:val="000000" w:themeColor="text1"/>
          <w:sz w:val="20"/>
          <w:szCs w:val="20"/>
        </w:rPr>
      </w:pPr>
      <w:r w:rsidRPr="007A1E6B">
        <w:rPr>
          <w:rFonts w:ascii="Arial" w:hAnsi="Arial" w:cs="Arial"/>
          <w:b/>
          <w:color w:val="000000" w:themeColor="text1"/>
          <w:sz w:val="20"/>
          <w:szCs w:val="20"/>
        </w:rPr>
        <w:t>5. Experiencias y casos de aplicación</w:t>
      </w:r>
    </w:p>
    <w:p w14:paraId="421BAA50" w14:textId="77777777" w:rsidR="007A1E6B" w:rsidRPr="007A1E6B" w:rsidRDefault="007A1E6B" w:rsidP="007A1E6B">
      <w:pPr>
        <w:spacing w:after="0" w:line="240" w:lineRule="auto"/>
        <w:ind w:firstLine="709"/>
        <w:jc w:val="both"/>
        <w:rPr>
          <w:rFonts w:ascii="Arial" w:hAnsi="Arial" w:cs="Arial"/>
          <w:color w:val="000000" w:themeColor="text1"/>
          <w:sz w:val="20"/>
          <w:szCs w:val="20"/>
        </w:rPr>
      </w:pPr>
      <w:r w:rsidRPr="007A1E6B">
        <w:rPr>
          <w:rFonts w:ascii="Arial" w:hAnsi="Arial" w:cs="Arial"/>
          <w:color w:val="000000" w:themeColor="text1"/>
          <w:sz w:val="20"/>
          <w:szCs w:val="20"/>
        </w:rPr>
        <w:t>Finalmente, la revisión identificó diversas experiencias exitosas de implementación del IoT en la minería en países como China, India y Sudáfrica. Estudios de Fang (2022), Bo (2022, 2023), Huang (2023), Choubey (2022), Puneeth (2024), Zhenguo (2020) y Nguyen (2022) reportan mejoras en la gestión del agua a través de la centralización de datos en plataformas gráficas, la reducción de los tiempos de respuesta ante fallas hidráulicas y el cumplimiento más eficiente de normativas ambientales. No obstante, para replicar estos casos en América Latina, será indispensable adaptar las soluciones tecnológicas a la realidad local, fortalecer las capacidades técnicas y promover la participación comunitaria en los procesos de adopción tecnológica.</w:t>
      </w:r>
    </w:p>
    <w:p w14:paraId="0CC1C820" w14:textId="77777777" w:rsidR="007A1E6B" w:rsidRDefault="007A1E6B" w:rsidP="007A1E6B">
      <w:pPr>
        <w:spacing w:after="0" w:line="240" w:lineRule="auto"/>
        <w:jc w:val="both"/>
        <w:rPr>
          <w:rFonts w:ascii="Arial" w:hAnsi="Arial" w:cs="Arial"/>
          <w:color w:val="000000" w:themeColor="text1"/>
          <w:sz w:val="20"/>
          <w:szCs w:val="20"/>
        </w:rPr>
      </w:pPr>
    </w:p>
    <w:p w14:paraId="4F221158" w14:textId="666D5E26" w:rsidR="007A1E6B" w:rsidRPr="007A1E6B" w:rsidRDefault="007A1E6B" w:rsidP="007A1E6B">
      <w:pPr>
        <w:spacing w:after="0" w:line="240" w:lineRule="auto"/>
        <w:jc w:val="both"/>
        <w:rPr>
          <w:rFonts w:ascii="Arial" w:hAnsi="Arial" w:cs="Arial"/>
          <w:b/>
          <w:color w:val="000000" w:themeColor="text1"/>
          <w:sz w:val="20"/>
          <w:szCs w:val="20"/>
        </w:rPr>
      </w:pPr>
      <w:r w:rsidRPr="007A1E6B">
        <w:rPr>
          <w:rFonts w:ascii="Arial" w:hAnsi="Arial" w:cs="Arial"/>
          <w:b/>
          <w:color w:val="000000" w:themeColor="text1"/>
          <w:sz w:val="20"/>
          <w:szCs w:val="20"/>
        </w:rPr>
        <w:t>Síntesis general</w:t>
      </w:r>
    </w:p>
    <w:p w14:paraId="5141283C" w14:textId="531C589E" w:rsidR="00B85C6A" w:rsidRDefault="007A1E6B" w:rsidP="007A1E6B">
      <w:pPr>
        <w:spacing w:after="0" w:line="240" w:lineRule="auto"/>
        <w:ind w:firstLine="709"/>
        <w:jc w:val="both"/>
        <w:rPr>
          <w:rFonts w:ascii="Arial" w:hAnsi="Arial" w:cs="Arial"/>
          <w:color w:val="000000" w:themeColor="text1"/>
          <w:sz w:val="20"/>
          <w:szCs w:val="20"/>
        </w:rPr>
      </w:pPr>
      <w:r w:rsidRPr="007A1E6B">
        <w:rPr>
          <w:rFonts w:ascii="Arial" w:hAnsi="Arial" w:cs="Arial"/>
          <w:color w:val="000000" w:themeColor="text1"/>
          <w:sz w:val="20"/>
          <w:szCs w:val="20"/>
        </w:rPr>
        <w:t>Los cinco ejes temáticos analizados permiten concluir que el IoT representa una herramienta clave para transformar la gestión hídrica en la minería. Se han identificado avances importantes en el desarrollo de soluciones tecnológicas, mejoras en la eficiencia operativa y ejemplos concretos de implementación exitosa. Sin embargo, persisten desafíos significativos relacionados con la validación en escenarios reales, la superación de barreras técnicas, sociales y económicas, así como la necesidad de integrar el IoT con otras tecnologías emergentes para lograr una adopción sostenible y escalable en contextos mineros diversos.</w:t>
      </w:r>
    </w:p>
    <w:p w14:paraId="018093C6" w14:textId="77777777" w:rsidR="007A1E6B" w:rsidRPr="000F275E" w:rsidRDefault="007A1E6B" w:rsidP="007A1E6B">
      <w:pPr>
        <w:spacing w:after="0" w:line="240" w:lineRule="auto"/>
        <w:ind w:firstLine="709"/>
        <w:jc w:val="both"/>
        <w:rPr>
          <w:rFonts w:ascii="Arial" w:hAnsi="Arial" w:cs="Arial"/>
          <w:color w:val="000000" w:themeColor="text1"/>
          <w:sz w:val="20"/>
          <w:szCs w:val="20"/>
        </w:rPr>
      </w:pPr>
    </w:p>
    <w:p w14:paraId="4FCB45A9" w14:textId="77777777" w:rsidR="00683E7D" w:rsidRPr="002C5594" w:rsidRDefault="00683E7D" w:rsidP="00E271E2">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t>Conclusiones</w:t>
      </w:r>
    </w:p>
    <w:p w14:paraId="694DF5D9" w14:textId="77777777" w:rsidR="00796984" w:rsidRPr="00796984" w:rsidRDefault="00796984" w:rsidP="00796984">
      <w:pPr>
        <w:spacing w:after="0" w:line="240" w:lineRule="auto"/>
        <w:ind w:firstLine="708"/>
        <w:jc w:val="both"/>
        <w:rPr>
          <w:rFonts w:ascii="Arial" w:hAnsi="Arial" w:cs="Arial"/>
          <w:color w:val="000000" w:themeColor="text1"/>
          <w:sz w:val="20"/>
          <w:szCs w:val="20"/>
        </w:rPr>
      </w:pPr>
      <w:r w:rsidRPr="00796984">
        <w:rPr>
          <w:rFonts w:ascii="Arial" w:hAnsi="Arial" w:cs="Arial"/>
          <w:color w:val="000000" w:themeColor="text1"/>
          <w:sz w:val="20"/>
          <w:szCs w:val="20"/>
        </w:rPr>
        <w:t>El análisis realizado confirma que la aplicación del Internet de las Cosas (IoT) en la minería posee un alto potencial para optimizar el uso del recurso hídrico y reducir el impacto ambiental de las actividades extractivas. Las soluciones evaluadas han demostrado ser efectivas en aspectos clave como el monitoreo en tiempo real, la automatización de procesos y la detección temprana de fallos en los sistemas de abastecimiento y tratamiento de agua. Además, la flexibilidad de estas tecnologías permite su adaptación a diferentes escalas operativas, lo que genera oportunidades para mejorar la sostenibilidad hídrica tanto en grandes como en pequeñas explotaciones mineras.</w:t>
      </w:r>
    </w:p>
    <w:p w14:paraId="3E7B11D8" w14:textId="77777777" w:rsidR="00796984" w:rsidRPr="00796984" w:rsidRDefault="00796984" w:rsidP="00796984">
      <w:pPr>
        <w:spacing w:after="0" w:line="240" w:lineRule="auto"/>
        <w:ind w:firstLine="708"/>
        <w:jc w:val="both"/>
        <w:rPr>
          <w:rFonts w:ascii="Arial" w:hAnsi="Arial" w:cs="Arial"/>
          <w:color w:val="000000" w:themeColor="text1"/>
          <w:sz w:val="20"/>
          <w:szCs w:val="20"/>
        </w:rPr>
      </w:pPr>
      <w:r w:rsidRPr="00796984">
        <w:rPr>
          <w:rFonts w:ascii="Arial" w:hAnsi="Arial" w:cs="Arial"/>
          <w:color w:val="000000" w:themeColor="text1"/>
          <w:sz w:val="20"/>
          <w:szCs w:val="20"/>
        </w:rPr>
        <w:t>No obstante, los hallazgos también evidencian la necesidad de superar limitaciones significativas para lograr una adopción plena de estas tecnologías. Entre los principales desafíos se identifican las dificultades de conectividad en zonas remotas, los elevados costos de implementación, la escasa capacitación técnica en las comunidades mineras y la limitada integración con otras tecnologías emergentes.</w:t>
      </w:r>
    </w:p>
    <w:p w14:paraId="68483A87" w14:textId="4B7EC84D" w:rsidR="00B85C6A" w:rsidRPr="000F275E" w:rsidRDefault="00796984" w:rsidP="00796984">
      <w:pPr>
        <w:spacing w:after="0" w:line="240" w:lineRule="auto"/>
        <w:ind w:firstLine="708"/>
        <w:jc w:val="both"/>
        <w:rPr>
          <w:rFonts w:ascii="Arial" w:hAnsi="Arial" w:cs="Arial"/>
          <w:color w:val="000000" w:themeColor="text1"/>
          <w:sz w:val="20"/>
          <w:szCs w:val="20"/>
        </w:rPr>
      </w:pPr>
      <w:r w:rsidRPr="00796984">
        <w:rPr>
          <w:rFonts w:ascii="Arial" w:hAnsi="Arial" w:cs="Arial"/>
          <w:color w:val="000000" w:themeColor="text1"/>
          <w:sz w:val="20"/>
          <w:szCs w:val="20"/>
        </w:rPr>
        <w:t>Por ello, se recomienda priorizar investigaciones aplicadas en minas reales, fortalecer la infraestructura digital y promover políticas públicas que impulsen la inversión en innovación tecnológica. De esta manera, el IoT podrá consolidarse como un pilar estratégico en la gestión sostenible del agua en el sector minero.</w:t>
      </w:r>
    </w:p>
    <w:p w14:paraId="1382D9A4" w14:textId="77777777" w:rsidR="00796984" w:rsidRDefault="00796984" w:rsidP="00E271E2">
      <w:pPr>
        <w:spacing w:after="0" w:line="240" w:lineRule="auto"/>
        <w:jc w:val="both"/>
        <w:rPr>
          <w:rFonts w:ascii="Century Gothic" w:hAnsi="Century Gothic" w:cs="Arial"/>
          <w:b/>
          <w:bCs/>
          <w:color w:val="000000" w:themeColor="text1"/>
          <w:lang w:val="en-US"/>
        </w:rPr>
      </w:pPr>
    </w:p>
    <w:p w14:paraId="3C96C992" w14:textId="6FC27EAE" w:rsidR="00683E7D" w:rsidRPr="00141852" w:rsidRDefault="00683E7D" w:rsidP="00E271E2">
      <w:pPr>
        <w:spacing w:after="0" w:line="240" w:lineRule="auto"/>
        <w:jc w:val="both"/>
        <w:rPr>
          <w:rFonts w:ascii="Century Gothic" w:hAnsi="Century Gothic" w:cs="Arial"/>
          <w:b/>
          <w:bCs/>
          <w:color w:val="000000" w:themeColor="text1"/>
          <w:lang w:val="en-US"/>
        </w:rPr>
      </w:pPr>
      <w:r w:rsidRPr="00141852">
        <w:rPr>
          <w:rFonts w:ascii="Century Gothic" w:hAnsi="Century Gothic" w:cs="Arial"/>
          <w:b/>
          <w:bCs/>
          <w:color w:val="000000" w:themeColor="text1"/>
          <w:lang w:val="en-US"/>
        </w:rPr>
        <w:t>Referencias</w:t>
      </w:r>
    </w:p>
    <w:p w14:paraId="6CE7FF9A" w14:textId="77777777" w:rsidR="00FB032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Alshami, A., Ali, E., Elsayed, M., Eltoukhy, A. E. E., &amp; Zayed, T. (2024). IoT innovations in sustainable water and </w:t>
      </w:r>
    </w:p>
    <w:p w14:paraId="4CB52A6F" w14:textId="1C470DC5" w:rsidR="00FB0324" w:rsidRPr="00FB0324" w:rsidRDefault="00FB0324" w:rsidP="00FB032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wastewater management and water quality monitoring: A comprehensive review of advancements, implications, and future directions. </w:t>
      </w:r>
      <w:r w:rsidRPr="00FB0324">
        <w:rPr>
          <w:rStyle w:val="Emphasis"/>
          <w:rFonts w:ascii="Arial" w:hAnsi="Arial" w:cs="Arial"/>
          <w:sz w:val="20"/>
        </w:rPr>
        <w:t>IEEE Access, 12</w:t>
      </w:r>
      <w:r w:rsidRPr="00FB0324">
        <w:rPr>
          <w:rFonts w:ascii="Arial" w:hAnsi="Arial" w:cs="Arial"/>
          <w:sz w:val="20"/>
        </w:rPr>
        <w:t xml:space="preserve">, 58427–58453. </w:t>
      </w:r>
      <w:hyperlink r:id="rId19" w:tgtFrame="_new" w:history="1">
        <w:r w:rsidRPr="00FB0324">
          <w:rPr>
            <w:rStyle w:val="Hyperlink"/>
            <w:rFonts w:ascii="Arial" w:hAnsi="Arial" w:cs="Arial"/>
            <w:sz w:val="20"/>
          </w:rPr>
          <w:t>https://doi.org/10.1109/ACCESS.2024.3392573</w:t>
        </w:r>
      </w:hyperlink>
    </w:p>
    <w:p w14:paraId="581C66B2" w14:textId="77777777" w:rsidR="00FB0324" w:rsidRDefault="00FB0324" w:rsidP="00FB0324">
      <w:pPr>
        <w:pStyle w:val="NormalWeb"/>
        <w:spacing w:before="0" w:beforeAutospacing="0" w:after="0" w:afterAutospacing="0"/>
        <w:jc w:val="both"/>
        <w:rPr>
          <w:rStyle w:val="Emphasis"/>
          <w:rFonts w:ascii="Arial" w:hAnsi="Arial" w:cs="Arial"/>
          <w:sz w:val="20"/>
          <w:lang w:val="es-VE"/>
        </w:rPr>
      </w:pPr>
      <w:r w:rsidRPr="00FB0324">
        <w:rPr>
          <w:rFonts w:ascii="Arial" w:hAnsi="Arial" w:cs="Arial"/>
          <w:sz w:val="20"/>
        </w:rPr>
        <w:t xml:space="preserve">Andrade, P., &amp; Aguilar, J. (2021). </w:t>
      </w:r>
      <w:r w:rsidRPr="00FB0324">
        <w:rPr>
          <w:rStyle w:val="Emphasis"/>
          <w:rFonts w:ascii="Arial" w:hAnsi="Arial" w:cs="Arial"/>
          <w:sz w:val="20"/>
          <w:lang w:val="es-VE"/>
        </w:rPr>
        <w:t xml:space="preserve">Sistema de detección y predicción de la calidad del aire y del agua para el </w:t>
      </w:r>
    </w:p>
    <w:p w14:paraId="5D29D05F" w14:textId="679B9E7F" w:rsidR="00FB0324" w:rsidRPr="00FB0324" w:rsidRDefault="00FB0324" w:rsidP="00FB0324">
      <w:pPr>
        <w:pStyle w:val="NormalWeb"/>
        <w:spacing w:before="0" w:beforeAutospacing="0" w:after="0" w:afterAutospacing="0"/>
        <w:ind w:left="708"/>
        <w:jc w:val="both"/>
        <w:rPr>
          <w:rFonts w:ascii="Arial" w:hAnsi="Arial" w:cs="Arial"/>
          <w:sz w:val="20"/>
          <w:lang w:val="es-VE"/>
        </w:rPr>
      </w:pPr>
      <w:r w:rsidRPr="00FB0324">
        <w:rPr>
          <w:rStyle w:val="Emphasis"/>
          <w:rFonts w:ascii="Arial" w:hAnsi="Arial" w:cs="Arial"/>
          <w:sz w:val="20"/>
          <w:lang w:val="es-VE"/>
        </w:rPr>
        <w:t>monitoreo y control ambiental en explotación minera usando componentes IoT</w:t>
      </w:r>
      <w:r w:rsidRPr="00FB0324">
        <w:rPr>
          <w:rFonts w:ascii="Arial" w:hAnsi="Arial" w:cs="Arial"/>
          <w:sz w:val="20"/>
          <w:lang w:val="es-VE"/>
        </w:rPr>
        <w:t xml:space="preserve"> [Tesis de licenciatura, Universidad Privada de Ciencias Aplicadas]. Repositorio Académico UPC. </w:t>
      </w:r>
      <w:hyperlink r:id="rId20" w:tgtFrame="_new" w:history="1">
        <w:r w:rsidRPr="00FB0324">
          <w:rPr>
            <w:rStyle w:val="Hyperlink"/>
            <w:rFonts w:ascii="Arial" w:hAnsi="Arial" w:cs="Arial"/>
            <w:sz w:val="20"/>
            <w:lang w:val="es-VE"/>
          </w:rPr>
          <w:t>https://repositorioacademico.upc.edu.pe/handle/10757/657615</w:t>
        </w:r>
      </w:hyperlink>
    </w:p>
    <w:p w14:paraId="199B86C3" w14:textId="77777777" w:rsidR="00FB0324" w:rsidRDefault="00FB0324" w:rsidP="00FB0324">
      <w:pPr>
        <w:pStyle w:val="NormalWeb"/>
        <w:spacing w:before="0" w:beforeAutospacing="0" w:after="0" w:afterAutospacing="0"/>
        <w:jc w:val="both"/>
        <w:rPr>
          <w:rStyle w:val="Emphasis"/>
          <w:rFonts w:ascii="Arial" w:hAnsi="Arial" w:cs="Arial"/>
          <w:sz w:val="20"/>
          <w:lang w:val="es-VE"/>
        </w:rPr>
      </w:pPr>
      <w:r w:rsidRPr="00FB0324">
        <w:rPr>
          <w:rFonts w:ascii="Arial" w:hAnsi="Arial" w:cs="Arial"/>
          <w:sz w:val="20"/>
          <w:lang w:val="es-VE"/>
        </w:rPr>
        <w:t xml:space="preserve">Basso Araya, C. E. (2024). </w:t>
      </w:r>
      <w:r w:rsidRPr="00FB0324">
        <w:rPr>
          <w:rStyle w:val="Emphasis"/>
          <w:rFonts w:ascii="Arial" w:hAnsi="Arial" w:cs="Arial"/>
          <w:sz w:val="20"/>
          <w:lang w:val="es-VE"/>
        </w:rPr>
        <w:t xml:space="preserve">Propuesta de implementación de un gemelo digital para la minería subterránea </w:t>
      </w:r>
    </w:p>
    <w:p w14:paraId="282BA381" w14:textId="224A5B41" w:rsidR="00FB0324" w:rsidRPr="00FB0324" w:rsidRDefault="00FB0324" w:rsidP="00FB0324">
      <w:pPr>
        <w:pStyle w:val="NormalWeb"/>
        <w:spacing w:before="0" w:beforeAutospacing="0" w:after="0" w:afterAutospacing="0"/>
        <w:ind w:left="708"/>
        <w:jc w:val="both"/>
        <w:rPr>
          <w:rFonts w:ascii="Arial" w:hAnsi="Arial" w:cs="Arial"/>
          <w:sz w:val="20"/>
        </w:rPr>
      </w:pPr>
      <w:r w:rsidRPr="00FB0324">
        <w:rPr>
          <w:rStyle w:val="Emphasis"/>
          <w:rFonts w:ascii="Arial" w:hAnsi="Arial" w:cs="Arial"/>
          <w:sz w:val="20"/>
          <w:lang w:val="es-VE"/>
        </w:rPr>
        <w:t>mediante la metodología BIM</w:t>
      </w:r>
      <w:r w:rsidRPr="00FB0324">
        <w:rPr>
          <w:rFonts w:ascii="Arial" w:hAnsi="Arial" w:cs="Arial"/>
          <w:sz w:val="20"/>
          <w:lang w:val="es-VE"/>
        </w:rPr>
        <w:t xml:space="preserve"> [Tesis de maestría, Universidad de Chile]. </w:t>
      </w:r>
      <w:r w:rsidRPr="00FB0324">
        <w:rPr>
          <w:rFonts w:ascii="Arial" w:hAnsi="Arial" w:cs="Arial"/>
          <w:sz w:val="20"/>
        </w:rPr>
        <w:t xml:space="preserve">Repositorio UChile. </w:t>
      </w:r>
      <w:hyperlink r:id="rId21" w:tgtFrame="_new" w:history="1">
        <w:r w:rsidRPr="00FB0324">
          <w:rPr>
            <w:rStyle w:val="Hyperlink"/>
            <w:rFonts w:ascii="Arial" w:hAnsi="Arial" w:cs="Arial"/>
            <w:sz w:val="20"/>
          </w:rPr>
          <w:t>https://repositorio.uchile.cl/handle/2250/203801</w:t>
        </w:r>
      </w:hyperlink>
    </w:p>
    <w:p w14:paraId="66A23096" w14:textId="77777777" w:rsidR="00FB032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Bo, L., Liu, Y., Zhang, Z., Zhu, D., &amp; Wang, Y. (2022). Research on an online monitoring system for efficient and </w:t>
      </w:r>
    </w:p>
    <w:p w14:paraId="2D2C6148" w14:textId="504AF4E7" w:rsidR="00FB0324" w:rsidRPr="00FB0324" w:rsidRDefault="00FB0324" w:rsidP="00FB032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accurate monitoring of mine water. </w:t>
      </w:r>
      <w:r w:rsidRPr="00FB0324">
        <w:rPr>
          <w:rStyle w:val="Emphasis"/>
          <w:rFonts w:ascii="Arial" w:hAnsi="Arial" w:cs="Arial"/>
          <w:sz w:val="20"/>
        </w:rPr>
        <w:t>IEEE Access, 10</w:t>
      </w:r>
      <w:r w:rsidRPr="00FB0324">
        <w:rPr>
          <w:rFonts w:ascii="Arial" w:hAnsi="Arial" w:cs="Arial"/>
          <w:sz w:val="20"/>
        </w:rPr>
        <w:t xml:space="preserve">, 18743–18756. </w:t>
      </w:r>
      <w:hyperlink r:id="rId22" w:tgtFrame="_new" w:history="1">
        <w:r w:rsidRPr="00FB0324">
          <w:rPr>
            <w:rStyle w:val="Hyperlink"/>
            <w:rFonts w:ascii="Arial" w:hAnsi="Arial" w:cs="Arial"/>
            <w:sz w:val="20"/>
          </w:rPr>
          <w:t>https://doi.org/10.1109/ACCESS.2022.3151244</w:t>
        </w:r>
      </w:hyperlink>
    </w:p>
    <w:p w14:paraId="008A4407" w14:textId="77777777" w:rsidR="00FB032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Bothe-Fiekert, M., Binder, A., Nowosad, S. P., Apollo, F., &amp; Langefeld, O. (2024). Lifecycle of mine water. En W. </w:t>
      </w:r>
    </w:p>
    <w:p w14:paraId="1A9CE3B2" w14:textId="5FACBAE1" w:rsidR="00FB0324" w:rsidRPr="00FB0324" w:rsidRDefault="00FB0324" w:rsidP="00FB032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Frenz &amp; A. Preuße (Eds.), </w:t>
      </w:r>
      <w:r w:rsidRPr="00FB0324">
        <w:rPr>
          <w:rStyle w:val="Emphasis"/>
          <w:rFonts w:ascii="Arial" w:hAnsi="Arial" w:cs="Arial"/>
          <w:sz w:val="20"/>
        </w:rPr>
        <w:t>Yearbook of sustainable smart mining and energy 2022. Technical, economic and legal framework</w:t>
      </w:r>
      <w:r w:rsidRPr="00FB0324">
        <w:rPr>
          <w:rFonts w:ascii="Arial" w:hAnsi="Arial" w:cs="Arial"/>
          <w:sz w:val="20"/>
        </w:rPr>
        <w:t xml:space="preserve"> (Vol. 2, pp. 67–92). Springer. </w:t>
      </w:r>
      <w:hyperlink r:id="rId23" w:tgtFrame="_new" w:history="1">
        <w:r w:rsidRPr="00FB0324">
          <w:rPr>
            <w:rStyle w:val="Hyperlink"/>
            <w:rFonts w:ascii="Arial" w:hAnsi="Arial" w:cs="Arial"/>
            <w:sz w:val="20"/>
          </w:rPr>
          <w:t>https://doi.org/10.1007/978-3-031-41873-0_4</w:t>
        </w:r>
      </w:hyperlink>
    </w:p>
    <w:p w14:paraId="2EB02587" w14:textId="77777777" w:rsidR="00FB0324" w:rsidRDefault="00FB0324" w:rsidP="00FB0324">
      <w:pPr>
        <w:pStyle w:val="NormalWeb"/>
        <w:spacing w:before="0" w:beforeAutospacing="0" w:after="0" w:afterAutospacing="0"/>
        <w:jc w:val="both"/>
        <w:rPr>
          <w:rStyle w:val="Emphasis"/>
          <w:rFonts w:ascii="Arial" w:hAnsi="Arial" w:cs="Arial"/>
          <w:sz w:val="20"/>
          <w:lang w:val="es-VE"/>
        </w:rPr>
      </w:pPr>
      <w:r w:rsidRPr="00FB0324">
        <w:rPr>
          <w:rFonts w:ascii="Arial" w:hAnsi="Arial" w:cs="Arial"/>
          <w:sz w:val="20"/>
          <w:lang w:val="es-VE"/>
        </w:rPr>
        <w:t xml:space="preserve">Casavilca, R., &amp; Antonio, R. (2024). </w:t>
      </w:r>
      <w:r w:rsidRPr="00FB0324">
        <w:rPr>
          <w:rStyle w:val="Emphasis"/>
          <w:rFonts w:ascii="Arial" w:hAnsi="Arial" w:cs="Arial"/>
          <w:sz w:val="20"/>
          <w:lang w:val="es-VE"/>
        </w:rPr>
        <w:t xml:space="preserve">Prototipo de monitoreo remoto para el control del sistema de retorno de agua </w:t>
      </w:r>
    </w:p>
    <w:p w14:paraId="0FD7E3A8" w14:textId="6739C7BA" w:rsidR="00FB0324" w:rsidRPr="00FB0324" w:rsidRDefault="00FB0324" w:rsidP="00FB0324">
      <w:pPr>
        <w:pStyle w:val="NormalWeb"/>
        <w:spacing w:before="0" w:beforeAutospacing="0" w:after="0" w:afterAutospacing="0"/>
        <w:ind w:left="708"/>
        <w:jc w:val="both"/>
        <w:rPr>
          <w:rFonts w:ascii="Arial" w:hAnsi="Arial" w:cs="Arial"/>
          <w:sz w:val="20"/>
          <w:lang w:val="es-VE"/>
        </w:rPr>
      </w:pPr>
      <w:r w:rsidRPr="00FB0324">
        <w:rPr>
          <w:rStyle w:val="Emphasis"/>
          <w:rFonts w:ascii="Arial" w:hAnsi="Arial" w:cs="Arial"/>
          <w:sz w:val="20"/>
          <w:lang w:val="es-VE"/>
        </w:rPr>
        <w:t>de infiltración de relave del sumidero en la Unidad Minera San Rafael</w:t>
      </w:r>
      <w:r w:rsidRPr="00FB0324">
        <w:rPr>
          <w:rFonts w:ascii="Arial" w:hAnsi="Arial" w:cs="Arial"/>
          <w:sz w:val="20"/>
          <w:lang w:val="es-VE"/>
        </w:rPr>
        <w:t xml:space="preserve"> [Tesis de licenciatura, Universidad Nacional de Huancavelica]. Repositorio UNH. </w:t>
      </w:r>
      <w:hyperlink r:id="rId24" w:tgtFrame="_new" w:history="1">
        <w:r w:rsidRPr="00FB0324">
          <w:rPr>
            <w:rStyle w:val="Hyperlink"/>
            <w:rFonts w:ascii="Arial" w:hAnsi="Arial" w:cs="Arial"/>
            <w:sz w:val="20"/>
            <w:lang w:val="es-VE"/>
          </w:rPr>
          <w:t>https://repositorio.unh.edu.pe/items/0c16f234-5891-4368-a63d-f52c77d7b71c</w:t>
        </w:r>
      </w:hyperlink>
    </w:p>
    <w:p w14:paraId="5DC80954" w14:textId="77777777" w:rsidR="00FB032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Choubey, S., William, P., Pawar, A. B., Jawale, M. A., Gupta, K., &amp; Parganiha, V. (2022). Intelligent water level </w:t>
      </w:r>
    </w:p>
    <w:p w14:paraId="68455C27" w14:textId="57A4867B" w:rsidR="00FB0324" w:rsidRPr="00FB0324" w:rsidRDefault="00FB0324" w:rsidP="00FB032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monitoring and water pump controlling system using IoT. En </w:t>
      </w:r>
      <w:r w:rsidRPr="00FB0324">
        <w:rPr>
          <w:rStyle w:val="Emphasis"/>
          <w:rFonts w:ascii="Arial" w:hAnsi="Arial" w:cs="Arial"/>
          <w:sz w:val="20"/>
        </w:rPr>
        <w:t>Proceedings of the 3rd International Conference on Electronics and Sustainable Communication Systems (ICESC)</w:t>
      </w:r>
      <w:r w:rsidRPr="00FB0324">
        <w:rPr>
          <w:rFonts w:ascii="Arial" w:hAnsi="Arial" w:cs="Arial"/>
          <w:sz w:val="20"/>
        </w:rPr>
        <w:t xml:space="preserve"> (pp. 423–427). IEEE. </w:t>
      </w:r>
      <w:hyperlink r:id="rId25" w:tgtFrame="_new" w:history="1">
        <w:r w:rsidRPr="00FB0324">
          <w:rPr>
            <w:rStyle w:val="Hyperlink"/>
            <w:rFonts w:ascii="Arial" w:hAnsi="Arial" w:cs="Arial"/>
            <w:sz w:val="20"/>
          </w:rPr>
          <w:t>https://doi.org/10.1109/ICESC54411.2022.9885358</w:t>
        </w:r>
      </w:hyperlink>
    </w:p>
    <w:p w14:paraId="68D65835" w14:textId="77777777" w:rsidR="00FB032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Fang, S., Cao, W., Shao, Q., Huang, W., Wang, F., Cheng, X., Cao, J., Luo, J., &amp; Wu, Y. (2022). Reutilization of </w:t>
      </w:r>
    </w:p>
    <w:p w14:paraId="586FFB98" w14:textId="77777777" w:rsidR="00FB0324" w:rsidRDefault="00FB0324" w:rsidP="00FB0324">
      <w:pPr>
        <w:pStyle w:val="NormalWeb"/>
        <w:spacing w:before="0" w:beforeAutospacing="0" w:after="0" w:afterAutospacing="0"/>
        <w:ind w:firstLine="708"/>
        <w:jc w:val="both"/>
        <w:rPr>
          <w:rFonts w:ascii="Arial" w:hAnsi="Arial" w:cs="Arial"/>
          <w:sz w:val="20"/>
        </w:rPr>
      </w:pPr>
      <w:r w:rsidRPr="00FB0324">
        <w:rPr>
          <w:rFonts w:ascii="Arial" w:hAnsi="Arial" w:cs="Arial"/>
          <w:sz w:val="20"/>
        </w:rPr>
        <w:t xml:space="preserve">waste crawfish shell and sludge for efficient volatile fatty acids production by synchronously regulating the </w:t>
      </w:r>
    </w:p>
    <w:p w14:paraId="38AB0BEE" w14:textId="77777777" w:rsidR="00FB0324" w:rsidRDefault="00FB0324" w:rsidP="00FB0324">
      <w:pPr>
        <w:pStyle w:val="NormalWeb"/>
        <w:spacing w:before="0" w:beforeAutospacing="0" w:after="0" w:afterAutospacing="0"/>
        <w:ind w:firstLine="708"/>
        <w:jc w:val="both"/>
        <w:rPr>
          <w:rFonts w:ascii="Arial" w:hAnsi="Arial" w:cs="Arial"/>
          <w:sz w:val="20"/>
        </w:rPr>
      </w:pPr>
      <w:r w:rsidRPr="00FB0324">
        <w:rPr>
          <w:rFonts w:ascii="Arial" w:hAnsi="Arial" w:cs="Arial"/>
          <w:sz w:val="20"/>
        </w:rPr>
        <w:t xml:space="preserve">bioavailable substrates and microbial metabolic traits. </w:t>
      </w:r>
      <w:r w:rsidRPr="00FB0324">
        <w:rPr>
          <w:rStyle w:val="Emphasis"/>
          <w:rFonts w:ascii="Arial" w:hAnsi="Arial" w:cs="Arial"/>
          <w:sz w:val="20"/>
        </w:rPr>
        <w:t>Journal of Cleaner Production, 349</w:t>
      </w:r>
      <w:r w:rsidRPr="00FB0324">
        <w:rPr>
          <w:rFonts w:ascii="Arial" w:hAnsi="Arial" w:cs="Arial"/>
          <w:sz w:val="20"/>
        </w:rPr>
        <w:t xml:space="preserve">, 131456. </w:t>
      </w:r>
    </w:p>
    <w:p w14:paraId="47ED1FE1" w14:textId="0D948259" w:rsidR="00FB0324" w:rsidRPr="00FB0324" w:rsidRDefault="00FB0324" w:rsidP="00FB0324">
      <w:pPr>
        <w:pStyle w:val="NormalWeb"/>
        <w:spacing w:before="0" w:beforeAutospacing="0" w:after="0" w:afterAutospacing="0"/>
        <w:ind w:firstLine="708"/>
        <w:jc w:val="both"/>
        <w:rPr>
          <w:rFonts w:ascii="Arial" w:hAnsi="Arial" w:cs="Arial"/>
          <w:sz w:val="20"/>
        </w:rPr>
      </w:pPr>
      <w:hyperlink r:id="rId26" w:history="1">
        <w:r w:rsidRPr="007F5152">
          <w:rPr>
            <w:rStyle w:val="Hyperlink"/>
            <w:rFonts w:ascii="Arial" w:hAnsi="Arial" w:cs="Arial"/>
            <w:sz w:val="20"/>
          </w:rPr>
          <w:t>https://doi.org/10.1016/j.jclepro.2022.131456</w:t>
        </w:r>
      </w:hyperlink>
      <w:r>
        <w:rPr>
          <w:rFonts w:ascii="Arial" w:hAnsi="Arial" w:cs="Arial"/>
          <w:sz w:val="20"/>
        </w:rPr>
        <w:t xml:space="preserve"> </w:t>
      </w:r>
    </w:p>
    <w:p w14:paraId="7777ECA1" w14:textId="77777777" w:rsidR="00FB032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Huang, W., Sui, L., Wang, Y., Zhang, C., Jiang, D., Cai, X., &amp; Yang, Z. (2023). Study of the mining and aquifer </w:t>
      </w:r>
    </w:p>
    <w:p w14:paraId="6EECE12A" w14:textId="1832FF46" w:rsidR="00FB0324" w:rsidRPr="00FB0324" w:rsidRDefault="00FB0324" w:rsidP="00FB032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interactions in complex geological conditions and its management. </w:t>
      </w:r>
      <w:r w:rsidRPr="00FB0324">
        <w:rPr>
          <w:rStyle w:val="Emphasis"/>
          <w:rFonts w:ascii="Arial" w:hAnsi="Arial" w:cs="Arial"/>
          <w:sz w:val="20"/>
        </w:rPr>
        <w:t>Scientific Reports, 13</w:t>
      </w:r>
      <w:r w:rsidRPr="00FB0324">
        <w:rPr>
          <w:rFonts w:ascii="Arial" w:hAnsi="Arial" w:cs="Arial"/>
          <w:sz w:val="20"/>
        </w:rPr>
        <w:t xml:space="preserve">(1), 9462. </w:t>
      </w:r>
      <w:hyperlink r:id="rId27" w:tgtFrame="_new" w:history="1">
        <w:r w:rsidRPr="00FB0324">
          <w:rPr>
            <w:rStyle w:val="Hyperlink"/>
            <w:rFonts w:ascii="Arial" w:hAnsi="Arial" w:cs="Arial"/>
            <w:sz w:val="20"/>
          </w:rPr>
          <w:t>https://doi.org/10.1038/s41598-023-34947-6</w:t>
        </w:r>
      </w:hyperlink>
    </w:p>
    <w:p w14:paraId="53C1DE1A" w14:textId="77777777" w:rsidR="00FB032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Humnabadkar, A., Karve, A., Shivbhakta, B., &amp; Kokate, A. A. (2024). Advanced technologies for sustainable water </w:t>
      </w:r>
    </w:p>
    <w:p w14:paraId="1086EDB7" w14:textId="2652DBAA" w:rsidR="00FB0324" w:rsidRPr="00FB0324" w:rsidRDefault="00FB0324" w:rsidP="00FB032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management: A comprehensive review. </w:t>
      </w:r>
      <w:r w:rsidRPr="00FB0324">
        <w:rPr>
          <w:rStyle w:val="Emphasis"/>
          <w:rFonts w:ascii="Arial" w:hAnsi="Arial" w:cs="Arial"/>
          <w:sz w:val="20"/>
        </w:rPr>
        <w:t>International Journal for Future Multidisciplinary Research, 6</w:t>
      </w:r>
      <w:r w:rsidRPr="00FB0324">
        <w:rPr>
          <w:rFonts w:ascii="Arial" w:hAnsi="Arial" w:cs="Arial"/>
          <w:sz w:val="20"/>
        </w:rPr>
        <w:t xml:space="preserve">(5), 382–388. </w:t>
      </w:r>
      <w:hyperlink r:id="rId28" w:tgtFrame="_new" w:history="1">
        <w:r w:rsidRPr="00FB0324">
          <w:rPr>
            <w:rStyle w:val="Hyperlink"/>
            <w:rFonts w:ascii="Arial" w:hAnsi="Arial" w:cs="Arial"/>
            <w:sz w:val="20"/>
          </w:rPr>
          <w:t>https://doi.org/10.36948/ijfmr.2024.v06i05.27573</w:t>
        </w:r>
      </w:hyperlink>
    </w:p>
    <w:p w14:paraId="34BBB63B" w14:textId="77777777" w:rsidR="00FB032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Kagiso, M., Wolkersdorfer, C., Kang, N., &amp; Elmaghraby, A. S. (2020). Automated measurement systems in mine </w:t>
      </w:r>
    </w:p>
    <w:p w14:paraId="235A36DC" w14:textId="41A01112" w:rsidR="00FB0324" w:rsidRPr="00FB0324" w:rsidRDefault="00FB0324" w:rsidP="00FB032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water management and mine workings: A review of potential methods. </w:t>
      </w:r>
      <w:r w:rsidRPr="00FB0324">
        <w:rPr>
          <w:rStyle w:val="Emphasis"/>
          <w:rFonts w:ascii="Arial" w:hAnsi="Arial" w:cs="Arial"/>
          <w:sz w:val="20"/>
        </w:rPr>
        <w:t>Water Resources and Industry, 24</w:t>
      </w:r>
      <w:r w:rsidRPr="00FB0324">
        <w:rPr>
          <w:rFonts w:ascii="Arial" w:hAnsi="Arial" w:cs="Arial"/>
          <w:sz w:val="20"/>
        </w:rPr>
        <w:t xml:space="preserve">, 100136. </w:t>
      </w:r>
      <w:hyperlink r:id="rId29" w:tgtFrame="_new" w:history="1">
        <w:r w:rsidRPr="00FB0324">
          <w:rPr>
            <w:rStyle w:val="Hyperlink"/>
            <w:rFonts w:ascii="Arial" w:hAnsi="Arial" w:cs="Arial"/>
            <w:sz w:val="20"/>
          </w:rPr>
          <w:t>https://doi.org/10.1016/j.wri.2020.100136</w:t>
        </w:r>
      </w:hyperlink>
    </w:p>
    <w:p w14:paraId="612ABC2F" w14:textId="77777777" w:rsidR="00FB032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Leuenberger, A., Dietler, D., Lyatuu, I., Farnham, A., Kihwele, F., Brugger, F., &amp; Winkler, M. S. (2021). Water and </w:t>
      </w:r>
    </w:p>
    <w:p w14:paraId="56F7644C" w14:textId="4D2A0C67" w:rsidR="00FB0324" w:rsidRPr="00FB0324" w:rsidRDefault="00FB0324" w:rsidP="00FB032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health in mining settings in sub-Saharan Africa: A mixed methods geospatial visualization. </w:t>
      </w:r>
      <w:r w:rsidRPr="00FB0324">
        <w:rPr>
          <w:rStyle w:val="Emphasis"/>
          <w:rFonts w:ascii="Arial" w:hAnsi="Arial" w:cs="Arial"/>
          <w:sz w:val="20"/>
        </w:rPr>
        <w:t>Geospatial Health, 16</w:t>
      </w:r>
      <w:r w:rsidRPr="00FB0324">
        <w:rPr>
          <w:rFonts w:ascii="Arial" w:hAnsi="Arial" w:cs="Arial"/>
          <w:sz w:val="20"/>
        </w:rPr>
        <w:t xml:space="preserve">(1), 965. </w:t>
      </w:r>
      <w:hyperlink r:id="rId30" w:tgtFrame="_new" w:history="1">
        <w:r w:rsidRPr="00FB0324">
          <w:rPr>
            <w:rStyle w:val="Hyperlink"/>
            <w:rFonts w:ascii="Arial" w:hAnsi="Arial" w:cs="Arial"/>
            <w:sz w:val="20"/>
          </w:rPr>
          <w:t>https://doi.org/10.4081/gh.2021.965</w:t>
        </w:r>
      </w:hyperlink>
    </w:p>
    <w:p w14:paraId="411987F2" w14:textId="77777777" w:rsidR="00FB032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Maseeh, H. M., Zeebaree, S. R. M., Sadeeq, M. A. M., Ameen, S. Y., Ibrahim, I. M., Zebari, R. R., Ibrahim, R. K., </w:t>
      </w:r>
    </w:p>
    <w:p w14:paraId="6BCF914C" w14:textId="4EEBA4AE" w:rsidR="00FB0324" w:rsidRPr="00FB0324" w:rsidRDefault="00FB0324" w:rsidP="00FB032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&amp; Sallow, A. B. (2021). IoT and ICT based smart water management, monitoring and controlling system: A review. </w:t>
      </w:r>
      <w:r w:rsidRPr="00FB0324">
        <w:rPr>
          <w:rStyle w:val="Emphasis"/>
          <w:rFonts w:ascii="Arial" w:hAnsi="Arial" w:cs="Arial"/>
          <w:sz w:val="20"/>
        </w:rPr>
        <w:t>Asian Journal of Research in Computer Science, 8</w:t>
      </w:r>
      <w:r w:rsidRPr="00FB0324">
        <w:rPr>
          <w:rFonts w:ascii="Arial" w:hAnsi="Arial" w:cs="Arial"/>
          <w:sz w:val="20"/>
        </w:rPr>
        <w:t xml:space="preserve">(2), 42–56. </w:t>
      </w:r>
      <w:hyperlink r:id="rId31" w:tgtFrame="_new" w:history="1">
        <w:r w:rsidRPr="00FB0324">
          <w:rPr>
            <w:rStyle w:val="Hyperlink"/>
            <w:rFonts w:ascii="Arial" w:hAnsi="Arial" w:cs="Arial"/>
            <w:sz w:val="20"/>
          </w:rPr>
          <w:t>https://doi.org/10.9734/ajrcos/2021/v8i230198</w:t>
        </w:r>
      </w:hyperlink>
    </w:p>
    <w:p w14:paraId="205F0196" w14:textId="77777777" w:rsidR="00FB032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Miller, T., Durlik, I., Kostecka, E., Kozlovska, P., Łobodzińska, A., Sokołowska, S., &amp; Nowy, A. (2025). Integrating </w:t>
      </w:r>
    </w:p>
    <w:p w14:paraId="1505FAB6" w14:textId="51CC2973" w:rsidR="00FB0324" w:rsidRPr="00FB0324" w:rsidRDefault="00FB0324" w:rsidP="00FB032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artificial intelligence agents with the Internet of Things for enhanced environmental monitoring: Applications in water quality and climate data. </w:t>
      </w:r>
      <w:r w:rsidRPr="00FB0324">
        <w:rPr>
          <w:rStyle w:val="Emphasis"/>
          <w:rFonts w:ascii="Arial" w:hAnsi="Arial" w:cs="Arial"/>
          <w:sz w:val="20"/>
        </w:rPr>
        <w:t>Electronics, 14</w:t>
      </w:r>
      <w:r w:rsidRPr="00FB0324">
        <w:rPr>
          <w:rFonts w:ascii="Arial" w:hAnsi="Arial" w:cs="Arial"/>
          <w:sz w:val="20"/>
        </w:rPr>
        <w:t xml:space="preserve">(4), 696. </w:t>
      </w:r>
      <w:hyperlink r:id="rId32" w:tgtFrame="_new" w:history="1">
        <w:r w:rsidRPr="00FB0324">
          <w:rPr>
            <w:rStyle w:val="Hyperlink"/>
            <w:rFonts w:ascii="Arial" w:hAnsi="Arial" w:cs="Arial"/>
            <w:sz w:val="20"/>
          </w:rPr>
          <w:t>https://doi.org/10.3390/electronics14040696</w:t>
        </w:r>
      </w:hyperlink>
    </w:p>
    <w:p w14:paraId="78C40458" w14:textId="77777777" w:rsidR="00FB032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Molaei, F., Rahimi, E., Siavoshi, H., Afrouz, S. G., &amp; Tenorio, V. (2020). A comprehensive review on Internet of </w:t>
      </w:r>
    </w:p>
    <w:p w14:paraId="173F373A" w14:textId="77777777" w:rsidR="00246D54" w:rsidRDefault="00FB0324" w:rsidP="00FB0324">
      <w:pPr>
        <w:pStyle w:val="NormalWeb"/>
        <w:spacing w:before="0" w:beforeAutospacing="0" w:after="0" w:afterAutospacing="0"/>
        <w:ind w:firstLine="708"/>
        <w:jc w:val="both"/>
        <w:rPr>
          <w:rStyle w:val="Emphasis"/>
          <w:rFonts w:ascii="Arial" w:hAnsi="Arial" w:cs="Arial"/>
          <w:sz w:val="20"/>
        </w:rPr>
      </w:pPr>
      <w:r w:rsidRPr="00FB0324">
        <w:rPr>
          <w:rFonts w:ascii="Arial" w:hAnsi="Arial" w:cs="Arial"/>
          <w:sz w:val="20"/>
        </w:rPr>
        <w:t xml:space="preserve">Things (IoT) and its implications in the mining industry. </w:t>
      </w:r>
      <w:r w:rsidRPr="00FB0324">
        <w:rPr>
          <w:rStyle w:val="Emphasis"/>
          <w:rFonts w:ascii="Arial" w:hAnsi="Arial" w:cs="Arial"/>
          <w:sz w:val="20"/>
        </w:rPr>
        <w:t xml:space="preserve">American Journal of Engineering and Applied </w:t>
      </w:r>
    </w:p>
    <w:p w14:paraId="216FD363" w14:textId="6D815FA5" w:rsidR="00FB0324" w:rsidRPr="00FB0324" w:rsidRDefault="00FB0324" w:rsidP="00FB0324">
      <w:pPr>
        <w:pStyle w:val="NormalWeb"/>
        <w:spacing w:before="0" w:beforeAutospacing="0" w:after="0" w:afterAutospacing="0"/>
        <w:ind w:firstLine="708"/>
        <w:jc w:val="both"/>
        <w:rPr>
          <w:rFonts w:ascii="Arial" w:hAnsi="Arial" w:cs="Arial"/>
          <w:sz w:val="20"/>
        </w:rPr>
      </w:pPr>
      <w:r w:rsidRPr="00FB0324">
        <w:rPr>
          <w:rStyle w:val="Emphasis"/>
          <w:rFonts w:ascii="Arial" w:hAnsi="Arial" w:cs="Arial"/>
          <w:sz w:val="20"/>
        </w:rPr>
        <w:t>Sciences, 13</w:t>
      </w:r>
      <w:r w:rsidRPr="00FB0324">
        <w:rPr>
          <w:rFonts w:ascii="Arial" w:hAnsi="Arial" w:cs="Arial"/>
          <w:sz w:val="20"/>
        </w:rPr>
        <w:t xml:space="preserve">(3), 499–515. </w:t>
      </w:r>
      <w:hyperlink r:id="rId33" w:tgtFrame="_new" w:history="1">
        <w:r w:rsidRPr="00FB0324">
          <w:rPr>
            <w:rStyle w:val="Hyperlink"/>
            <w:rFonts w:ascii="Arial" w:hAnsi="Arial" w:cs="Arial"/>
            <w:sz w:val="20"/>
          </w:rPr>
          <w:t>https://doi.org/10.3844/ajeassp.2020.499.515</w:t>
        </w:r>
      </w:hyperlink>
    </w:p>
    <w:p w14:paraId="106A93A4" w14:textId="77777777" w:rsidR="00246D5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lang w:val="es-VE"/>
        </w:rPr>
        <w:t xml:space="preserve">Monteiro, C., Van, J., &amp; Schutte, C. (2022). </w:t>
      </w:r>
      <w:r w:rsidRPr="00FB0324">
        <w:rPr>
          <w:rFonts w:ascii="Arial" w:hAnsi="Arial" w:cs="Arial"/>
          <w:sz w:val="20"/>
        </w:rPr>
        <w:t xml:space="preserve">A simulation-based water management strategy for life-of-mine water </w:t>
      </w:r>
    </w:p>
    <w:p w14:paraId="5A0D4A70" w14:textId="6622D63E" w:rsidR="00FB0324" w:rsidRPr="00FB0324" w:rsidRDefault="00FB0324" w:rsidP="00246D5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planning. </w:t>
      </w:r>
      <w:r w:rsidRPr="00FB0324">
        <w:rPr>
          <w:rStyle w:val="Emphasis"/>
          <w:rFonts w:ascii="Arial" w:hAnsi="Arial" w:cs="Arial"/>
          <w:sz w:val="20"/>
        </w:rPr>
        <w:t>South African Journal of Industrial Engineering, 33</w:t>
      </w:r>
      <w:r w:rsidRPr="00FB0324">
        <w:rPr>
          <w:rFonts w:ascii="Arial" w:hAnsi="Arial" w:cs="Arial"/>
          <w:sz w:val="20"/>
        </w:rPr>
        <w:t xml:space="preserve">(3), 151–164. </w:t>
      </w:r>
      <w:hyperlink r:id="rId34" w:history="1">
        <w:r w:rsidR="00246D54" w:rsidRPr="007F5152">
          <w:rPr>
            <w:rStyle w:val="Hyperlink"/>
            <w:rFonts w:ascii="Arial" w:hAnsi="Arial" w:cs="Arial"/>
            <w:sz w:val="20"/>
          </w:rPr>
          <w:t>https://doi.org/10.7166/33-3-2787</w:t>
        </w:r>
      </w:hyperlink>
    </w:p>
    <w:p w14:paraId="7E849645" w14:textId="77777777" w:rsidR="00246D5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lang w:val="es-VE"/>
        </w:rPr>
        <w:t xml:space="preserve">Nguyen, D., Khong, C., &amp; Nguyen, V. (2022). </w:t>
      </w:r>
      <w:r w:rsidRPr="00FB0324">
        <w:rPr>
          <w:rFonts w:ascii="Arial" w:hAnsi="Arial" w:cs="Arial"/>
          <w:sz w:val="20"/>
        </w:rPr>
        <w:t xml:space="preserve">IoT-based automatic dust monitoring and suppression system for </w:t>
      </w:r>
    </w:p>
    <w:p w14:paraId="4AEDA3D9" w14:textId="00DECDAA" w:rsidR="00FB0324" w:rsidRPr="00FB0324" w:rsidRDefault="00FB0324" w:rsidP="00246D5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coal warehouses and processing areas with a reduction in water consumption. </w:t>
      </w:r>
      <w:r w:rsidRPr="00FB0324">
        <w:rPr>
          <w:rStyle w:val="Emphasis"/>
          <w:rFonts w:ascii="Arial" w:hAnsi="Arial" w:cs="Arial"/>
          <w:sz w:val="20"/>
        </w:rPr>
        <w:t>International Journal of Next-Generation Computing, 13</w:t>
      </w:r>
      <w:r w:rsidRPr="00FB0324">
        <w:rPr>
          <w:rFonts w:ascii="Arial" w:hAnsi="Arial" w:cs="Arial"/>
          <w:sz w:val="20"/>
        </w:rPr>
        <w:t xml:space="preserve">(3), 487–497. </w:t>
      </w:r>
      <w:hyperlink r:id="rId35" w:tgtFrame="_new" w:history="1">
        <w:r w:rsidRPr="00FB0324">
          <w:rPr>
            <w:rStyle w:val="Hyperlink"/>
            <w:rFonts w:ascii="Arial" w:hAnsi="Arial" w:cs="Arial"/>
            <w:sz w:val="20"/>
          </w:rPr>
          <w:t>https://doi.org/10.47164/ijngc.v13i3.658</w:t>
        </w:r>
      </w:hyperlink>
    </w:p>
    <w:p w14:paraId="1077B44F" w14:textId="77777777" w:rsidR="00246D5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Puneeth, G. J., Shashank, T., Vinit, P., Muzammil, S. D., &amp; Karthikeya, N. R. (2024). Smart water pollution </w:t>
      </w:r>
    </w:p>
    <w:p w14:paraId="19B38AA9" w14:textId="26FB444B" w:rsidR="00FB0324" w:rsidRPr="00FB0324" w:rsidRDefault="00FB0324" w:rsidP="00246D54">
      <w:pPr>
        <w:pStyle w:val="NormalWeb"/>
        <w:spacing w:before="0" w:beforeAutospacing="0" w:after="0" w:afterAutospacing="0"/>
        <w:ind w:left="708"/>
        <w:jc w:val="both"/>
        <w:rPr>
          <w:rFonts w:ascii="Arial" w:hAnsi="Arial" w:cs="Arial"/>
          <w:sz w:val="20"/>
          <w:lang w:val="es-VE"/>
        </w:rPr>
      </w:pPr>
      <w:r w:rsidRPr="00FB0324">
        <w:rPr>
          <w:rFonts w:ascii="Arial" w:hAnsi="Arial" w:cs="Arial"/>
          <w:sz w:val="20"/>
        </w:rPr>
        <w:t xml:space="preserve">management: IoT for automatic detection and prevention. </w:t>
      </w:r>
      <w:r w:rsidRPr="00FB0324">
        <w:rPr>
          <w:rStyle w:val="Emphasis"/>
          <w:rFonts w:ascii="Arial" w:hAnsi="Arial" w:cs="Arial"/>
          <w:sz w:val="20"/>
        </w:rPr>
        <w:t>International Journal of Advanced Research in Science, Communication and Technology, 4</w:t>
      </w:r>
      <w:r w:rsidRPr="00FB0324">
        <w:rPr>
          <w:rFonts w:ascii="Arial" w:hAnsi="Arial" w:cs="Arial"/>
          <w:sz w:val="20"/>
        </w:rPr>
        <w:t xml:space="preserve">(5), 532–541. </w:t>
      </w:r>
      <w:hyperlink r:id="rId36" w:tgtFrame="_new" w:history="1">
        <w:r w:rsidRPr="00FB0324">
          <w:rPr>
            <w:rStyle w:val="Hyperlink"/>
            <w:rFonts w:ascii="Arial" w:hAnsi="Arial" w:cs="Arial"/>
            <w:sz w:val="20"/>
            <w:lang w:val="es-VE"/>
          </w:rPr>
          <w:t>https://doi.org/10.48175/IJARSCT-18484</w:t>
        </w:r>
      </w:hyperlink>
    </w:p>
    <w:p w14:paraId="24F92FBA" w14:textId="77777777" w:rsidR="00246D54" w:rsidRDefault="00FB0324" w:rsidP="00FB0324">
      <w:pPr>
        <w:pStyle w:val="NormalWeb"/>
        <w:spacing w:before="0" w:beforeAutospacing="0" w:after="0" w:afterAutospacing="0"/>
        <w:jc w:val="both"/>
        <w:rPr>
          <w:rStyle w:val="Emphasis"/>
          <w:rFonts w:ascii="Arial" w:hAnsi="Arial" w:cs="Arial"/>
          <w:sz w:val="20"/>
          <w:lang w:val="es-VE"/>
        </w:rPr>
      </w:pPr>
      <w:r w:rsidRPr="00FB0324">
        <w:rPr>
          <w:rFonts w:ascii="Arial" w:hAnsi="Arial" w:cs="Arial"/>
          <w:sz w:val="20"/>
          <w:lang w:val="es-VE"/>
        </w:rPr>
        <w:t xml:space="preserve">Quispe, W. (2024). </w:t>
      </w:r>
      <w:r w:rsidRPr="00FB0324">
        <w:rPr>
          <w:rStyle w:val="Emphasis"/>
          <w:rFonts w:ascii="Arial" w:hAnsi="Arial" w:cs="Arial"/>
          <w:sz w:val="20"/>
          <w:lang w:val="es-VE"/>
        </w:rPr>
        <w:t xml:space="preserve">Diseño y elaboración de un sistema de envío de datos inalámbrico de sensores para barcazas </w:t>
      </w:r>
    </w:p>
    <w:p w14:paraId="17DB2C2B" w14:textId="6865D069" w:rsidR="00FB0324" w:rsidRPr="00FB0324" w:rsidRDefault="00FB0324" w:rsidP="00246D54">
      <w:pPr>
        <w:pStyle w:val="NormalWeb"/>
        <w:spacing w:before="0" w:beforeAutospacing="0" w:after="0" w:afterAutospacing="0"/>
        <w:ind w:left="708"/>
        <w:jc w:val="both"/>
        <w:rPr>
          <w:rFonts w:ascii="Arial" w:hAnsi="Arial" w:cs="Arial"/>
          <w:sz w:val="20"/>
          <w:lang w:val="es-VE"/>
        </w:rPr>
      </w:pPr>
      <w:r w:rsidRPr="00FB0324">
        <w:rPr>
          <w:rStyle w:val="Emphasis"/>
          <w:rFonts w:ascii="Arial" w:hAnsi="Arial" w:cs="Arial"/>
          <w:sz w:val="20"/>
          <w:lang w:val="es-VE"/>
        </w:rPr>
        <w:t>de relaves mineros utilizando tecnología IoT</w:t>
      </w:r>
      <w:r w:rsidRPr="00FB0324">
        <w:rPr>
          <w:rFonts w:ascii="Arial" w:hAnsi="Arial" w:cs="Arial"/>
          <w:sz w:val="20"/>
          <w:lang w:val="es-VE"/>
        </w:rPr>
        <w:t xml:space="preserve"> [Tesis de licenciatura, Universidad Nacional de San Agustín de Arequipa]. Repositorio UNSA. </w:t>
      </w:r>
      <w:hyperlink r:id="rId37" w:tgtFrame="_new" w:history="1">
        <w:r w:rsidRPr="00FB0324">
          <w:rPr>
            <w:rStyle w:val="Hyperlink"/>
            <w:rFonts w:ascii="Arial" w:hAnsi="Arial" w:cs="Arial"/>
            <w:sz w:val="20"/>
            <w:lang w:val="es-VE"/>
          </w:rPr>
          <w:t>https://repositorio.unsa.edu.pe/server/api/core/bitstreams/c4d11c83-5310-429e-b1fa-04729ae7511f/content</w:t>
        </w:r>
      </w:hyperlink>
    </w:p>
    <w:p w14:paraId="1B45530C" w14:textId="77777777" w:rsidR="00246D5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Shafaei, F., Doulati Ardejani, F., Bahroudi, A., Hoseini, M., &amp; Khakpour, M. (2022). Mechanical-electrical </w:t>
      </w:r>
    </w:p>
    <w:p w14:paraId="4E3A3EFE" w14:textId="6FB559DC" w:rsidR="00FB0324" w:rsidRPr="00FB0324" w:rsidRDefault="00FB0324" w:rsidP="00246D5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dewatering (EDW) of mine tailings: Influence of voltage level on water recovery and moisture reduction. </w:t>
      </w:r>
      <w:r w:rsidRPr="00FB0324">
        <w:rPr>
          <w:rStyle w:val="Emphasis"/>
          <w:rFonts w:ascii="Arial" w:hAnsi="Arial" w:cs="Arial"/>
          <w:sz w:val="20"/>
        </w:rPr>
        <w:t>Minerals Engineering, 175</w:t>
      </w:r>
      <w:r w:rsidRPr="00FB0324">
        <w:rPr>
          <w:rFonts w:ascii="Arial" w:hAnsi="Arial" w:cs="Arial"/>
          <w:sz w:val="20"/>
        </w:rPr>
        <w:t xml:space="preserve">, 107303. </w:t>
      </w:r>
      <w:hyperlink r:id="rId38" w:tgtFrame="_new" w:history="1">
        <w:r w:rsidRPr="00FB0324">
          <w:rPr>
            <w:rStyle w:val="Hyperlink"/>
            <w:rFonts w:ascii="Arial" w:hAnsi="Arial" w:cs="Arial"/>
            <w:sz w:val="20"/>
          </w:rPr>
          <w:t>https://doi.org/10.1016/j.mineng.2021.107303</w:t>
        </w:r>
      </w:hyperlink>
    </w:p>
    <w:p w14:paraId="7EA554BC" w14:textId="77777777" w:rsidR="00246D5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Shaikh, M., Ali, A., Ahmed, R., &amp; Shaikh, B. A. (2023). A review on Internet of Things (IoT) based water monitoring </w:t>
      </w:r>
    </w:p>
    <w:p w14:paraId="2B8F7A28" w14:textId="3D263AAA" w:rsidR="00FB0324" w:rsidRPr="00FB0324" w:rsidRDefault="00FB0324" w:rsidP="00246D54">
      <w:pPr>
        <w:pStyle w:val="NormalWeb"/>
        <w:spacing w:before="0" w:beforeAutospacing="0" w:after="0" w:afterAutospacing="0"/>
        <w:ind w:firstLine="708"/>
        <w:jc w:val="both"/>
        <w:rPr>
          <w:rFonts w:ascii="Arial" w:hAnsi="Arial" w:cs="Arial"/>
          <w:sz w:val="20"/>
          <w:lang w:val="es-VE"/>
        </w:rPr>
      </w:pPr>
      <w:r w:rsidRPr="00FB0324">
        <w:rPr>
          <w:rFonts w:ascii="Arial" w:hAnsi="Arial" w:cs="Arial"/>
          <w:sz w:val="20"/>
        </w:rPr>
        <w:t xml:space="preserve">system. </w:t>
      </w:r>
      <w:r w:rsidRPr="00FB0324">
        <w:rPr>
          <w:rStyle w:val="Emphasis"/>
          <w:rFonts w:ascii="Arial" w:hAnsi="Arial" w:cs="Arial"/>
          <w:sz w:val="20"/>
          <w:lang w:val="es-VE"/>
        </w:rPr>
        <w:t>Jurnal Kejuruteraan, 35</w:t>
      </w:r>
      <w:r w:rsidRPr="00FB0324">
        <w:rPr>
          <w:rFonts w:ascii="Arial" w:hAnsi="Arial" w:cs="Arial"/>
          <w:sz w:val="20"/>
          <w:lang w:val="es-VE"/>
        </w:rPr>
        <w:t xml:space="preserve">(6), 1273–1278. </w:t>
      </w:r>
      <w:hyperlink r:id="rId39" w:tgtFrame="_new" w:history="1">
        <w:r w:rsidRPr="00FB0324">
          <w:rPr>
            <w:rStyle w:val="Hyperlink"/>
            <w:rFonts w:ascii="Arial" w:hAnsi="Arial" w:cs="Arial"/>
            <w:sz w:val="20"/>
            <w:lang w:val="es-VE"/>
          </w:rPr>
          <w:t>https://doi.org/10.17576/jkukm-2023-35(6)-01</w:t>
        </w:r>
      </w:hyperlink>
    </w:p>
    <w:p w14:paraId="0120F469" w14:textId="77777777" w:rsidR="00246D54" w:rsidRDefault="00FB0324" w:rsidP="00FB0324">
      <w:pPr>
        <w:pStyle w:val="NormalWeb"/>
        <w:spacing w:before="0" w:beforeAutospacing="0" w:after="0" w:afterAutospacing="0"/>
        <w:jc w:val="both"/>
        <w:rPr>
          <w:rFonts w:ascii="Arial" w:hAnsi="Arial" w:cs="Arial"/>
          <w:sz w:val="20"/>
          <w:lang w:val="es-VE"/>
        </w:rPr>
      </w:pPr>
      <w:r w:rsidRPr="00FB0324">
        <w:rPr>
          <w:rFonts w:ascii="Arial" w:hAnsi="Arial" w:cs="Arial"/>
          <w:sz w:val="20"/>
          <w:lang w:val="es-VE"/>
        </w:rPr>
        <w:t>Vallejo-Sanchez, D., Muñoz-García, A., Chaverra-Zuleta, E., Correa-Casas, J., Londoño, L. F., &amp; Bustamante-</w:t>
      </w:r>
    </w:p>
    <w:p w14:paraId="3A4E08E1" w14:textId="4162AA02" w:rsidR="00FB0324" w:rsidRPr="00FB0324" w:rsidRDefault="00FB0324" w:rsidP="00246D54">
      <w:pPr>
        <w:pStyle w:val="NormalWeb"/>
        <w:spacing w:before="0" w:beforeAutospacing="0" w:after="0" w:afterAutospacing="0"/>
        <w:ind w:left="708"/>
        <w:jc w:val="both"/>
        <w:rPr>
          <w:rFonts w:ascii="Arial" w:hAnsi="Arial" w:cs="Arial"/>
          <w:sz w:val="20"/>
          <w:lang w:val="es-VE"/>
        </w:rPr>
      </w:pPr>
      <w:r w:rsidRPr="00FB0324">
        <w:rPr>
          <w:rFonts w:ascii="Arial" w:hAnsi="Arial" w:cs="Arial"/>
          <w:sz w:val="20"/>
          <w:lang w:val="es-VE"/>
        </w:rPr>
        <w:t xml:space="preserve">Rúa, O. (2024). Desarrollo de una arquitectura IoT para monitoreo ambiental: Integración de tecnologías de código abierto con proyección de aplicación en el sector minero. </w:t>
      </w:r>
      <w:r w:rsidRPr="00FB0324">
        <w:rPr>
          <w:rStyle w:val="Emphasis"/>
          <w:rFonts w:ascii="Arial" w:hAnsi="Arial" w:cs="Arial"/>
          <w:sz w:val="20"/>
          <w:lang w:val="es-VE"/>
        </w:rPr>
        <w:t>DYNA, 91</w:t>
      </w:r>
      <w:r w:rsidRPr="00FB0324">
        <w:rPr>
          <w:rFonts w:ascii="Arial" w:hAnsi="Arial" w:cs="Arial"/>
          <w:sz w:val="20"/>
          <w:lang w:val="es-VE"/>
        </w:rPr>
        <w:t xml:space="preserve">(231), 163–168. </w:t>
      </w:r>
      <w:hyperlink r:id="rId40" w:tgtFrame="_new" w:history="1">
        <w:r w:rsidRPr="00FB0324">
          <w:rPr>
            <w:rStyle w:val="Hyperlink"/>
            <w:rFonts w:ascii="Arial" w:hAnsi="Arial" w:cs="Arial"/>
            <w:sz w:val="20"/>
            <w:lang w:val="es-VE"/>
          </w:rPr>
          <w:t>https://doi.org/10.15446/dyna.v91n231.112093</w:t>
        </w:r>
      </w:hyperlink>
    </w:p>
    <w:p w14:paraId="55DCE862" w14:textId="77777777" w:rsidR="00246D54" w:rsidRDefault="00FB0324" w:rsidP="00FB0324">
      <w:pPr>
        <w:pStyle w:val="NormalWeb"/>
        <w:spacing w:before="0" w:beforeAutospacing="0" w:after="0" w:afterAutospacing="0"/>
        <w:jc w:val="both"/>
        <w:rPr>
          <w:rStyle w:val="Emphasis"/>
          <w:rFonts w:ascii="Arial" w:hAnsi="Arial" w:cs="Arial"/>
          <w:sz w:val="20"/>
          <w:lang w:val="es-VE"/>
        </w:rPr>
      </w:pPr>
      <w:r w:rsidRPr="00FB0324">
        <w:rPr>
          <w:rFonts w:ascii="Arial" w:hAnsi="Arial" w:cs="Arial"/>
          <w:sz w:val="20"/>
          <w:lang w:val="es-VE"/>
        </w:rPr>
        <w:t xml:space="preserve">Yong García, G. E. (2021). </w:t>
      </w:r>
      <w:r w:rsidRPr="00FB0324">
        <w:rPr>
          <w:rStyle w:val="Emphasis"/>
          <w:rFonts w:ascii="Arial" w:hAnsi="Arial" w:cs="Arial"/>
          <w:sz w:val="20"/>
          <w:lang w:val="es-VE"/>
        </w:rPr>
        <w:t xml:space="preserve">Desarrollo de un sistema de monitoreo y control automático en apoyo a las operaciones </w:t>
      </w:r>
    </w:p>
    <w:p w14:paraId="5EB769FE" w14:textId="473EF8D5" w:rsidR="00FB0324" w:rsidRPr="00FB0324" w:rsidRDefault="00FB0324" w:rsidP="00246D54">
      <w:pPr>
        <w:pStyle w:val="NormalWeb"/>
        <w:spacing w:before="0" w:beforeAutospacing="0" w:after="0" w:afterAutospacing="0"/>
        <w:ind w:left="708"/>
        <w:jc w:val="both"/>
        <w:rPr>
          <w:rFonts w:ascii="Arial" w:hAnsi="Arial" w:cs="Arial"/>
          <w:sz w:val="20"/>
        </w:rPr>
      </w:pPr>
      <w:r w:rsidRPr="00FB0324">
        <w:rPr>
          <w:rStyle w:val="Emphasis"/>
          <w:rFonts w:ascii="Arial" w:hAnsi="Arial" w:cs="Arial"/>
          <w:sz w:val="20"/>
          <w:lang w:val="es-VE"/>
        </w:rPr>
        <w:t>de la empresa Sitech Perú S.A., distrito de Santiago de Surco, provincia y departamento de Lima-Perú</w:t>
      </w:r>
      <w:r w:rsidRPr="00FB0324">
        <w:rPr>
          <w:rFonts w:ascii="Arial" w:hAnsi="Arial" w:cs="Arial"/>
          <w:sz w:val="20"/>
          <w:lang w:val="es-VE"/>
        </w:rPr>
        <w:t xml:space="preserve"> [Tesis de licenciatura, Universidad Tecnológica del Perú]. </w:t>
      </w:r>
      <w:hyperlink r:id="rId41" w:tgtFrame="_new" w:history="1">
        <w:r w:rsidRPr="00FB0324">
          <w:rPr>
            <w:rStyle w:val="Hyperlink"/>
            <w:rFonts w:ascii="Arial" w:hAnsi="Arial" w:cs="Arial"/>
            <w:sz w:val="20"/>
          </w:rPr>
          <w:t>https://hdl.handle.net/20.500.12867/5031</w:t>
        </w:r>
      </w:hyperlink>
    </w:p>
    <w:p w14:paraId="2E4F9FF4" w14:textId="77777777" w:rsidR="00246D54" w:rsidRDefault="00FB0324" w:rsidP="00FB0324">
      <w:pPr>
        <w:pStyle w:val="NormalWeb"/>
        <w:spacing w:before="0" w:beforeAutospacing="0" w:after="0" w:afterAutospacing="0"/>
        <w:jc w:val="both"/>
        <w:rPr>
          <w:rFonts w:ascii="Arial" w:hAnsi="Arial" w:cs="Arial"/>
          <w:sz w:val="20"/>
        </w:rPr>
      </w:pPr>
      <w:r w:rsidRPr="00FB0324">
        <w:rPr>
          <w:rFonts w:ascii="Arial" w:hAnsi="Arial" w:cs="Arial"/>
          <w:sz w:val="20"/>
        </w:rPr>
        <w:t xml:space="preserve">Zhenguo, Y., Xintan, C., &amp; Yanping, W. (2020). The prediction of water conducted zone in coal mining by Internet </w:t>
      </w:r>
    </w:p>
    <w:p w14:paraId="3D6A0F56" w14:textId="72F02C9B" w:rsidR="00FB0324" w:rsidRPr="00FB0324" w:rsidRDefault="00FB0324" w:rsidP="00246D54">
      <w:pPr>
        <w:pStyle w:val="NormalWeb"/>
        <w:spacing w:before="0" w:beforeAutospacing="0" w:after="0" w:afterAutospacing="0"/>
        <w:ind w:left="708"/>
        <w:jc w:val="both"/>
        <w:rPr>
          <w:rFonts w:ascii="Arial" w:hAnsi="Arial" w:cs="Arial"/>
          <w:sz w:val="20"/>
        </w:rPr>
      </w:pPr>
      <w:r w:rsidRPr="00FB0324">
        <w:rPr>
          <w:rFonts w:ascii="Arial" w:hAnsi="Arial" w:cs="Arial"/>
          <w:sz w:val="20"/>
        </w:rPr>
        <w:t xml:space="preserve">of Things perception. </w:t>
      </w:r>
      <w:r w:rsidRPr="00FB0324">
        <w:rPr>
          <w:rStyle w:val="Emphasis"/>
          <w:rFonts w:ascii="Arial" w:hAnsi="Arial" w:cs="Arial"/>
          <w:sz w:val="20"/>
        </w:rPr>
        <w:t>Arabian Journal of Geosciences, 13</w:t>
      </w:r>
      <w:r w:rsidRPr="00FB0324">
        <w:rPr>
          <w:rFonts w:ascii="Arial" w:hAnsi="Arial" w:cs="Arial"/>
          <w:sz w:val="20"/>
        </w:rPr>
        <w:t xml:space="preserve">(21), 1–18. </w:t>
      </w:r>
      <w:hyperlink r:id="rId42" w:history="1">
        <w:r w:rsidR="00246D54" w:rsidRPr="007F5152">
          <w:rPr>
            <w:rStyle w:val="Hyperlink"/>
            <w:rFonts w:ascii="Arial" w:hAnsi="Arial" w:cs="Arial"/>
            <w:sz w:val="20"/>
          </w:rPr>
          <w:t>https://doi.org/10.1007/s12517-020-05833-6</w:t>
        </w:r>
      </w:hyperlink>
    </w:p>
    <w:p w14:paraId="2218A0F8" w14:textId="2E00388B" w:rsidR="00683E7D" w:rsidRPr="00FB0324" w:rsidRDefault="00683E7D" w:rsidP="00FB0324">
      <w:pPr>
        <w:spacing w:after="0" w:line="240" w:lineRule="auto"/>
        <w:ind w:left="709" w:hanging="709"/>
        <w:jc w:val="both"/>
        <w:rPr>
          <w:rFonts w:ascii="Arial" w:hAnsi="Arial" w:cs="Arial"/>
          <w:color w:val="000000" w:themeColor="text1"/>
          <w:sz w:val="16"/>
          <w:szCs w:val="20"/>
          <w:lang w:val="en-US"/>
        </w:rPr>
      </w:pPr>
    </w:p>
    <w:sectPr w:rsidR="00683E7D" w:rsidRPr="00FB0324" w:rsidSect="00627E06">
      <w:footerReference w:type="default" r:id="rId43"/>
      <w:headerReference w:type="first" r:id="rId44"/>
      <w:footerReference w:type="first" r:id="rId45"/>
      <w:pgSz w:w="12240" w:h="15840"/>
      <w:pgMar w:top="1418" w:right="1134" w:bottom="1418" w:left="1134"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529478" w14:textId="77777777" w:rsidR="00A168DD" w:rsidRDefault="00A168DD" w:rsidP="00683E7D">
      <w:pPr>
        <w:spacing w:after="0" w:line="240" w:lineRule="auto"/>
      </w:pPr>
      <w:r>
        <w:separator/>
      </w:r>
    </w:p>
  </w:endnote>
  <w:endnote w:type="continuationSeparator" w:id="0">
    <w:p w14:paraId="6B1917A6" w14:textId="77777777" w:rsidR="00A168DD" w:rsidRDefault="00A168DD" w:rsidP="00683E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EC020D6-3006-4612-9ED7-8A7BE94DAD9B}"/>
    <w:embedBold r:id="rId2" w:fontKey="{CA6AF6B4-3B4E-43BA-B541-3D276ED0F5F6}"/>
    <w:embedItalic r:id="rId3" w:fontKey="{DFE36C15-E8A6-4729-805A-80A48F20E42C}"/>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4" w:fontKey="{16B02971-0AC4-4015-9CA3-0A8091CE4E18}"/>
    <w:embedBold r:id="rId5" w:fontKey="{6D37A4A1-E938-4DA6-8437-E5B1CBD3FCD5}"/>
    <w:embedItalic r:id="rId6" w:fontKey="{BFA0E6D5-55B1-4139-958C-CB6B1671D1C8}"/>
  </w:font>
  <w:font w:name="Arial">
    <w:panose1 w:val="020B0604020202020204"/>
    <w:charset w:val="00"/>
    <w:family w:val="swiss"/>
    <w:pitch w:val="variable"/>
    <w:sig w:usb0="E0002EFF" w:usb1="C000785B" w:usb2="00000009" w:usb3="00000000" w:csb0="000001FF" w:csb1="00000000"/>
  </w:font>
  <w:font w:name="Prompt">
    <w:panose1 w:val="00000500000000000000"/>
    <w:charset w:val="DE"/>
    <w:family w:val="auto"/>
    <w:pitch w:val="variable"/>
    <w:sig w:usb0="21000007" w:usb1="00000001" w:usb2="00000000" w:usb3="00000000" w:csb0="00010193" w:csb1="00000000"/>
  </w:font>
  <w:font w:name="Poppins Black">
    <w:panose1 w:val="00000A00000000000000"/>
    <w:charset w:val="00"/>
    <w:family w:val="auto"/>
    <w:pitch w:val="variable"/>
    <w:sig w:usb0="00008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F78D01" w14:textId="252F3904" w:rsidR="00841795" w:rsidRDefault="00841795" w:rsidP="007A4FFB">
    <w:pPr>
      <w:spacing w:after="0" w:line="240" w:lineRule="auto"/>
      <w:jc w:val="both"/>
      <w:rPr>
        <w:rFonts w:asciiTheme="minorHAnsi" w:hAnsiTheme="minorHAnsi" w:cs="Arial"/>
        <w:color w:val="1F4E79" w:themeColor="accent5" w:themeShade="80"/>
        <w:sz w:val="18"/>
        <w:szCs w:val="16"/>
      </w:rPr>
    </w:pPr>
    <w:r w:rsidRPr="00CC42ED">
      <w:rPr>
        <w:noProof/>
        <w:lang w:val="en-US"/>
      </w:rPr>
      <w:drawing>
        <wp:anchor distT="0" distB="0" distL="114300" distR="114300" simplePos="0" relativeHeight="251667456" behindDoc="1" locked="0" layoutInCell="1" allowOverlap="1" wp14:anchorId="24DFF3ED" wp14:editId="2867D0D7">
          <wp:simplePos x="0" y="0"/>
          <wp:positionH relativeFrom="column">
            <wp:posOffset>-716692</wp:posOffset>
          </wp:positionH>
          <wp:positionV relativeFrom="paragraph">
            <wp:posOffset>-114249</wp:posOffset>
          </wp:positionV>
          <wp:extent cx="7772400" cy="914354"/>
          <wp:effectExtent l="0" t="0" r="0" b="635"/>
          <wp:wrapNone/>
          <wp:docPr id="705570498" name="Imagen 705570498"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90908"/>
                  <a:stretch/>
                </pic:blipFill>
                <pic:spPr bwMode="auto">
                  <a:xfrm>
                    <a:off x="0" y="0"/>
                    <a:ext cx="7772400" cy="9143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82E0AE" w14:textId="31AD3AAC" w:rsidR="00841795" w:rsidRPr="004E5389" w:rsidRDefault="00841795" w:rsidP="00683E7D">
    <w:pPr>
      <w:pStyle w:val="Footer"/>
      <w:jc w:val="right"/>
      <w:rPr>
        <w:rFonts w:ascii="Century Gothic" w:hAnsi="Century Gothic" w:cs="Poppins Black"/>
        <w:b/>
        <w:color w:val="1F4E79" w:themeColor="accent5" w:themeShade="80"/>
        <w:sz w:val="40"/>
        <w:szCs w:val="40"/>
      </w:rPr>
    </w:pPr>
    <w:r w:rsidRPr="004E5389">
      <w:rPr>
        <w:rFonts w:ascii="Century Gothic" w:hAnsi="Century Gothic" w:cs="Prompt"/>
        <w:b/>
        <w:color w:val="1F4E79" w:themeColor="accent5" w:themeShade="80"/>
        <w:sz w:val="28"/>
        <w:szCs w:val="28"/>
      </w:rPr>
      <w:fldChar w:fldCharType="begin"/>
    </w:r>
    <w:r w:rsidRPr="004E5389">
      <w:rPr>
        <w:rFonts w:ascii="Century Gothic" w:hAnsi="Century Gothic" w:cs="Prompt"/>
        <w:b/>
        <w:color w:val="1F4E79" w:themeColor="accent5" w:themeShade="80"/>
        <w:sz w:val="28"/>
        <w:szCs w:val="28"/>
      </w:rPr>
      <w:instrText>PAGE   \* MERGEFORMAT</w:instrText>
    </w:r>
    <w:r w:rsidRPr="004E5389">
      <w:rPr>
        <w:rFonts w:ascii="Century Gothic" w:hAnsi="Century Gothic" w:cs="Prompt"/>
        <w:b/>
        <w:color w:val="1F4E79" w:themeColor="accent5" w:themeShade="80"/>
        <w:sz w:val="28"/>
        <w:szCs w:val="28"/>
      </w:rPr>
      <w:fldChar w:fldCharType="separate"/>
    </w:r>
    <w:r w:rsidR="00B027DD" w:rsidRPr="00B027DD">
      <w:rPr>
        <w:rFonts w:ascii="Century Gothic" w:hAnsi="Century Gothic" w:cs="Prompt"/>
        <w:b/>
        <w:noProof/>
        <w:color w:val="1F4E79" w:themeColor="accent5" w:themeShade="80"/>
        <w:sz w:val="28"/>
        <w:szCs w:val="28"/>
        <w:lang w:val="es-ES"/>
      </w:rPr>
      <w:t>8</w:t>
    </w:r>
    <w:r w:rsidRPr="004E5389">
      <w:rPr>
        <w:rFonts w:ascii="Century Gothic" w:hAnsi="Century Gothic" w:cs="Prompt"/>
        <w:b/>
        <w:color w:val="1F4E79" w:themeColor="accent5" w:themeShade="80"/>
        <w:sz w:val="28"/>
        <w:szCs w:val="2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9EE4DB" w14:textId="77777777" w:rsidR="00841795" w:rsidRDefault="00841795" w:rsidP="00EB4554">
    <w:pPr>
      <w:pStyle w:val="Footer"/>
      <w:jc w:val="center"/>
    </w:pPr>
    <w:r w:rsidRPr="00CC42ED">
      <w:rPr>
        <w:noProof/>
        <w:lang w:val="en-US"/>
      </w:rPr>
      <w:drawing>
        <wp:anchor distT="0" distB="0" distL="114300" distR="114300" simplePos="0" relativeHeight="251665408" behindDoc="1" locked="0" layoutInCell="1" allowOverlap="1" wp14:anchorId="04681B58" wp14:editId="28EDAD20">
          <wp:simplePos x="0" y="0"/>
          <wp:positionH relativeFrom="column">
            <wp:posOffset>-720090</wp:posOffset>
          </wp:positionH>
          <wp:positionV relativeFrom="paragraph">
            <wp:posOffset>48260</wp:posOffset>
          </wp:positionV>
          <wp:extent cx="7772400" cy="914354"/>
          <wp:effectExtent l="0" t="0" r="0" b="635"/>
          <wp:wrapNone/>
          <wp:docPr id="7" name="Imagen 7"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90908"/>
                  <a:stretch/>
                </pic:blipFill>
                <pic:spPr bwMode="auto">
                  <a:xfrm>
                    <a:off x="0" y="0"/>
                    <a:ext cx="7772400" cy="9143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1BE7894" w14:textId="77777777" w:rsidR="00841795" w:rsidRDefault="00841795" w:rsidP="00EB4554">
    <w:pPr>
      <w:pStyle w:val="Footer"/>
      <w:jc w:val="center"/>
    </w:pPr>
  </w:p>
  <w:p w14:paraId="4324A97F" w14:textId="77777777" w:rsidR="00841795" w:rsidRDefault="008417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A9F5CA" w14:textId="77777777" w:rsidR="00A168DD" w:rsidRDefault="00A168DD" w:rsidP="00683E7D">
      <w:pPr>
        <w:spacing w:after="0" w:line="240" w:lineRule="auto"/>
      </w:pPr>
      <w:r>
        <w:separator/>
      </w:r>
    </w:p>
  </w:footnote>
  <w:footnote w:type="continuationSeparator" w:id="0">
    <w:p w14:paraId="69E2F0F0" w14:textId="77777777" w:rsidR="00A168DD" w:rsidRDefault="00A168DD" w:rsidP="00683E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F66642" w14:textId="77777777" w:rsidR="00841795" w:rsidRDefault="00841795">
    <w:pPr>
      <w:pStyle w:val="Header"/>
    </w:pPr>
    <w:r w:rsidRPr="007A4FFB">
      <w:rPr>
        <w:noProof/>
        <w:lang w:val="en-US"/>
      </w:rPr>
      <w:drawing>
        <wp:anchor distT="0" distB="0" distL="114300" distR="114300" simplePos="0" relativeHeight="251664384" behindDoc="1" locked="0" layoutInCell="1" allowOverlap="1" wp14:anchorId="04D4750C" wp14:editId="659AF2F9">
          <wp:simplePos x="0" y="0"/>
          <wp:positionH relativeFrom="column">
            <wp:posOffset>-720090</wp:posOffset>
          </wp:positionH>
          <wp:positionV relativeFrom="paragraph">
            <wp:posOffset>-450215</wp:posOffset>
          </wp:positionV>
          <wp:extent cx="7772400" cy="1332946"/>
          <wp:effectExtent l="0" t="0" r="0" b="635"/>
          <wp:wrapNone/>
          <wp:docPr id="9" name="Imagen 9"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b="86747"/>
                  <a:stretch/>
                </pic:blipFill>
                <pic:spPr bwMode="auto">
                  <a:xfrm>
                    <a:off x="0" y="0"/>
                    <a:ext cx="7772400" cy="133294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A5C226D"/>
    <w:multiLevelType w:val="hybridMultilevel"/>
    <w:tmpl w:val="BAF01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aveSubsetFonts/>
  <w:proofState w:spelling="clean" w:grammar="clean"/>
  <w:attachedTemplate r:id="rId1"/>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4FFB"/>
    <w:rsid w:val="000529D8"/>
    <w:rsid w:val="00053251"/>
    <w:rsid w:val="000624DD"/>
    <w:rsid w:val="00070288"/>
    <w:rsid w:val="00083D90"/>
    <w:rsid w:val="000E12C1"/>
    <w:rsid w:val="000F275E"/>
    <w:rsid w:val="00111DD2"/>
    <w:rsid w:val="00141852"/>
    <w:rsid w:val="001443AC"/>
    <w:rsid w:val="00175702"/>
    <w:rsid w:val="001844A0"/>
    <w:rsid w:val="001E1D07"/>
    <w:rsid w:val="001E6965"/>
    <w:rsid w:val="00202795"/>
    <w:rsid w:val="002179AA"/>
    <w:rsid w:val="00246D54"/>
    <w:rsid w:val="00255017"/>
    <w:rsid w:val="00280FF4"/>
    <w:rsid w:val="002C5594"/>
    <w:rsid w:val="002D2ADB"/>
    <w:rsid w:val="002E4A19"/>
    <w:rsid w:val="003356D1"/>
    <w:rsid w:val="00362184"/>
    <w:rsid w:val="00382D16"/>
    <w:rsid w:val="003B162A"/>
    <w:rsid w:val="003B36BC"/>
    <w:rsid w:val="00412544"/>
    <w:rsid w:val="00461AE1"/>
    <w:rsid w:val="00464628"/>
    <w:rsid w:val="004729F5"/>
    <w:rsid w:val="00473F9E"/>
    <w:rsid w:val="00481665"/>
    <w:rsid w:val="00491C48"/>
    <w:rsid w:val="004D4964"/>
    <w:rsid w:val="004E5389"/>
    <w:rsid w:val="004F029A"/>
    <w:rsid w:val="005B6571"/>
    <w:rsid w:val="005E7AC1"/>
    <w:rsid w:val="00615726"/>
    <w:rsid w:val="00620B13"/>
    <w:rsid w:val="00627E06"/>
    <w:rsid w:val="006315F1"/>
    <w:rsid w:val="00642908"/>
    <w:rsid w:val="00660156"/>
    <w:rsid w:val="00681B14"/>
    <w:rsid w:val="00683E7D"/>
    <w:rsid w:val="0069668E"/>
    <w:rsid w:val="006C71D9"/>
    <w:rsid w:val="007150CB"/>
    <w:rsid w:val="007352BA"/>
    <w:rsid w:val="00796984"/>
    <w:rsid w:val="007A199B"/>
    <w:rsid w:val="007A1E6B"/>
    <w:rsid w:val="007A4FFB"/>
    <w:rsid w:val="007B5C74"/>
    <w:rsid w:val="00802B39"/>
    <w:rsid w:val="00841795"/>
    <w:rsid w:val="0085611B"/>
    <w:rsid w:val="00860E7D"/>
    <w:rsid w:val="00876224"/>
    <w:rsid w:val="008C4793"/>
    <w:rsid w:val="009024DB"/>
    <w:rsid w:val="0092094D"/>
    <w:rsid w:val="00921D72"/>
    <w:rsid w:val="009447C3"/>
    <w:rsid w:val="0098556A"/>
    <w:rsid w:val="009B1897"/>
    <w:rsid w:val="009C1C68"/>
    <w:rsid w:val="009D505C"/>
    <w:rsid w:val="00A168DD"/>
    <w:rsid w:val="00A17E32"/>
    <w:rsid w:val="00A3466C"/>
    <w:rsid w:val="00A43C2D"/>
    <w:rsid w:val="00A46D90"/>
    <w:rsid w:val="00A8117F"/>
    <w:rsid w:val="00A85212"/>
    <w:rsid w:val="00AE25E2"/>
    <w:rsid w:val="00AE72B4"/>
    <w:rsid w:val="00B01F07"/>
    <w:rsid w:val="00B027DD"/>
    <w:rsid w:val="00B1415C"/>
    <w:rsid w:val="00B2525B"/>
    <w:rsid w:val="00B410B8"/>
    <w:rsid w:val="00B50DF0"/>
    <w:rsid w:val="00B51632"/>
    <w:rsid w:val="00B56396"/>
    <w:rsid w:val="00B85C6A"/>
    <w:rsid w:val="00BD65DF"/>
    <w:rsid w:val="00BF337B"/>
    <w:rsid w:val="00BF421D"/>
    <w:rsid w:val="00C00984"/>
    <w:rsid w:val="00C5795F"/>
    <w:rsid w:val="00C65BA7"/>
    <w:rsid w:val="00C80F8B"/>
    <w:rsid w:val="00C956BE"/>
    <w:rsid w:val="00CB40DD"/>
    <w:rsid w:val="00CC2434"/>
    <w:rsid w:val="00CC42ED"/>
    <w:rsid w:val="00CE3323"/>
    <w:rsid w:val="00CF1F1C"/>
    <w:rsid w:val="00CF4C70"/>
    <w:rsid w:val="00D43043"/>
    <w:rsid w:val="00D47DF0"/>
    <w:rsid w:val="00DD1A2F"/>
    <w:rsid w:val="00DE4D3A"/>
    <w:rsid w:val="00DE6601"/>
    <w:rsid w:val="00E14C58"/>
    <w:rsid w:val="00E14E0F"/>
    <w:rsid w:val="00E271E2"/>
    <w:rsid w:val="00E3578B"/>
    <w:rsid w:val="00E80AAF"/>
    <w:rsid w:val="00E818F8"/>
    <w:rsid w:val="00EB4554"/>
    <w:rsid w:val="00EF28BE"/>
    <w:rsid w:val="00F04A38"/>
    <w:rsid w:val="00F3007A"/>
    <w:rsid w:val="00F45AA2"/>
    <w:rsid w:val="00F763D7"/>
    <w:rsid w:val="00F80322"/>
    <w:rsid w:val="00FA1EAD"/>
    <w:rsid w:val="00FA5490"/>
    <w:rsid w:val="00FB0324"/>
    <w:rsid w:val="00FC3FD5"/>
    <w:rsid w:val="00FE58DB"/>
    <w:rsid w:val="00FF08B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BA7425"/>
  <w15:chartTrackingRefBased/>
  <w15:docId w15:val="{1DD4D71B-2255-488B-8D8C-8F07ABD940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29D8"/>
    <w:pPr>
      <w:spacing w:after="160" w:line="259" w:lineRule="auto"/>
    </w:pPr>
    <w:rPr>
      <w:kern w:val="2"/>
      <w:sz w:val="22"/>
      <w:szCs w:val="22"/>
      <w:lang w:eastAsia="en-US"/>
    </w:rPr>
  </w:style>
  <w:style w:type="paragraph" w:styleId="Heading1">
    <w:name w:val="heading 1"/>
    <w:basedOn w:val="Normal"/>
    <w:next w:val="Normal"/>
    <w:link w:val="Heading1Char"/>
    <w:uiPriority w:val="9"/>
    <w:qFormat/>
    <w:rsid w:val="00461AE1"/>
    <w:pPr>
      <w:keepNext/>
      <w:keepLines/>
      <w:spacing w:before="240" w:after="0"/>
      <w:outlineLvl w:val="0"/>
    </w:pPr>
    <w:rPr>
      <w:rFonts w:ascii="Calibri Light" w:eastAsia="Times New Roman" w:hAnsi="Calibri Light"/>
      <w:color w:val="2F5496"/>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2E4A19"/>
    <w:rPr>
      <w:rFonts w:eastAsia="Times New Roman"/>
      <w:sz w:val="22"/>
      <w:szCs w:val="22"/>
    </w:rPr>
  </w:style>
  <w:style w:type="character" w:customStyle="1" w:styleId="NoSpacingChar">
    <w:name w:val="No Spacing Char"/>
    <w:link w:val="NoSpacing"/>
    <w:uiPriority w:val="1"/>
    <w:rsid w:val="002E4A19"/>
    <w:rPr>
      <w:rFonts w:eastAsia="Times New Roman"/>
      <w:kern w:val="0"/>
      <w:lang w:eastAsia="es-CO"/>
    </w:rPr>
  </w:style>
  <w:style w:type="character" w:customStyle="1" w:styleId="Heading1Char">
    <w:name w:val="Heading 1 Char"/>
    <w:link w:val="Heading1"/>
    <w:uiPriority w:val="9"/>
    <w:rsid w:val="00461AE1"/>
    <w:rPr>
      <w:rFonts w:ascii="Calibri Light" w:eastAsia="Times New Roman" w:hAnsi="Calibri Light" w:cs="Times New Roman"/>
      <w:color w:val="2F5496"/>
      <w:sz w:val="32"/>
      <w:szCs w:val="32"/>
    </w:rPr>
  </w:style>
  <w:style w:type="paragraph" w:styleId="TOCHeading">
    <w:name w:val="TOC Heading"/>
    <w:basedOn w:val="Heading1"/>
    <w:next w:val="Normal"/>
    <w:uiPriority w:val="39"/>
    <w:unhideWhenUsed/>
    <w:qFormat/>
    <w:rsid w:val="00461AE1"/>
    <w:pPr>
      <w:outlineLvl w:val="9"/>
    </w:pPr>
    <w:rPr>
      <w:kern w:val="0"/>
      <w:lang w:eastAsia="es-CO"/>
    </w:rPr>
  </w:style>
  <w:style w:type="character" w:styleId="Hyperlink">
    <w:name w:val="Hyperlink"/>
    <w:uiPriority w:val="99"/>
    <w:unhideWhenUsed/>
    <w:rsid w:val="00620B13"/>
    <w:rPr>
      <w:color w:val="0563C1"/>
      <w:u w:val="single"/>
    </w:rPr>
  </w:style>
  <w:style w:type="character" w:customStyle="1" w:styleId="Mencinsinresolver1">
    <w:name w:val="Mención sin resolver1"/>
    <w:uiPriority w:val="99"/>
    <w:semiHidden/>
    <w:unhideWhenUsed/>
    <w:rsid w:val="00620B13"/>
    <w:rPr>
      <w:color w:val="605E5C"/>
      <w:shd w:val="clear" w:color="auto" w:fill="E1DFDD"/>
    </w:rPr>
  </w:style>
  <w:style w:type="paragraph" w:styleId="Header">
    <w:name w:val="header"/>
    <w:basedOn w:val="Normal"/>
    <w:link w:val="HeaderChar"/>
    <w:uiPriority w:val="99"/>
    <w:unhideWhenUsed/>
    <w:rsid w:val="00683E7D"/>
    <w:pPr>
      <w:tabs>
        <w:tab w:val="center" w:pos="4419"/>
        <w:tab w:val="right" w:pos="8838"/>
      </w:tabs>
      <w:spacing w:after="0" w:line="240" w:lineRule="auto"/>
    </w:pPr>
  </w:style>
  <w:style w:type="character" w:customStyle="1" w:styleId="HeaderChar">
    <w:name w:val="Header Char"/>
    <w:basedOn w:val="DefaultParagraphFont"/>
    <w:link w:val="Header"/>
    <w:uiPriority w:val="99"/>
    <w:rsid w:val="00683E7D"/>
  </w:style>
  <w:style w:type="paragraph" w:styleId="Footer">
    <w:name w:val="footer"/>
    <w:basedOn w:val="Normal"/>
    <w:link w:val="FooterChar"/>
    <w:uiPriority w:val="99"/>
    <w:unhideWhenUsed/>
    <w:rsid w:val="00683E7D"/>
    <w:pPr>
      <w:tabs>
        <w:tab w:val="center" w:pos="4419"/>
        <w:tab w:val="right" w:pos="8838"/>
      </w:tabs>
      <w:spacing w:after="0" w:line="240" w:lineRule="auto"/>
    </w:pPr>
  </w:style>
  <w:style w:type="character" w:customStyle="1" w:styleId="FooterChar">
    <w:name w:val="Footer Char"/>
    <w:basedOn w:val="DefaultParagraphFont"/>
    <w:link w:val="Footer"/>
    <w:uiPriority w:val="99"/>
    <w:rsid w:val="00683E7D"/>
  </w:style>
  <w:style w:type="character" w:styleId="FollowedHyperlink">
    <w:name w:val="FollowedHyperlink"/>
    <w:uiPriority w:val="99"/>
    <w:semiHidden/>
    <w:unhideWhenUsed/>
    <w:rsid w:val="00382D16"/>
    <w:rPr>
      <w:color w:val="954F72"/>
      <w:u w:val="single"/>
    </w:rPr>
  </w:style>
  <w:style w:type="paragraph" w:styleId="ListParagraph">
    <w:name w:val="List Paragraph"/>
    <w:basedOn w:val="Normal"/>
    <w:uiPriority w:val="34"/>
    <w:qFormat/>
    <w:rsid w:val="00C80F8B"/>
    <w:pPr>
      <w:ind w:left="720"/>
      <w:contextualSpacing/>
    </w:pPr>
  </w:style>
  <w:style w:type="paragraph" w:styleId="NormalWeb">
    <w:name w:val="Normal (Web)"/>
    <w:basedOn w:val="Normal"/>
    <w:uiPriority w:val="99"/>
    <w:semiHidden/>
    <w:unhideWhenUsed/>
    <w:rsid w:val="00FB0324"/>
    <w:pPr>
      <w:spacing w:before="100" w:beforeAutospacing="1" w:after="100" w:afterAutospacing="1" w:line="240" w:lineRule="auto"/>
    </w:pPr>
    <w:rPr>
      <w:rFonts w:ascii="Times New Roman" w:eastAsia="Times New Roman" w:hAnsi="Times New Roman"/>
      <w:kern w:val="0"/>
      <w:sz w:val="24"/>
      <w:szCs w:val="24"/>
      <w:lang w:val="en-US"/>
    </w:rPr>
  </w:style>
  <w:style w:type="character" w:styleId="Emphasis">
    <w:name w:val="Emphasis"/>
    <w:basedOn w:val="DefaultParagraphFont"/>
    <w:uiPriority w:val="20"/>
    <w:qFormat/>
    <w:rsid w:val="00FB032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055325">
      <w:bodyDiv w:val="1"/>
      <w:marLeft w:val="0"/>
      <w:marRight w:val="0"/>
      <w:marTop w:val="0"/>
      <w:marBottom w:val="0"/>
      <w:divBdr>
        <w:top w:val="none" w:sz="0" w:space="0" w:color="auto"/>
        <w:left w:val="none" w:sz="0" w:space="0" w:color="auto"/>
        <w:bottom w:val="none" w:sz="0" w:space="0" w:color="auto"/>
        <w:right w:val="none" w:sz="0" w:space="0" w:color="auto"/>
      </w:divBdr>
      <w:divsChild>
        <w:div w:id="102699304">
          <w:marLeft w:val="0"/>
          <w:marRight w:val="0"/>
          <w:marTop w:val="0"/>
          <w:marBottom w:val="0"/>
          <w:divBdr>
            <w:top w:val="none" w:sz="0" w:space="0" w:color="auto"/>
            <w:left w:val="none" w:sz="0" w:space="0" w:color="auto"/>
            <w:bottom w:val="none" w:sz="0" w:space="0" w:color="auto"/>
            <w:right w:val="none" w:sz="0" w:space="0" w:color="auto"/>
          </w:divBdr>
        </w:div>
      </w:divsChild>
    </w:div>
    <w:div w:id="121772289">
      <w:bodyDiv w:val="1"/>
      <w:marLeft w:val="0"/>
      <w:marRight w:val="0"/>
      <w:marTop w:val="0"/>
      <w:marBottom w:val="0"/>
      <w:divBdr>
        <w:top w:val="none" w:sz="0" w:space="0" w:color="auto"/>
        <w:left w:val="none" w:sz="0" w:space="0" w:color="auto"/>
        <w:bottom w:val="none" w:sz="0" w:space="0" w:color="auto"/>
        <w:right w:val="none" w:sz="0" w:space="0" w:color="auto"/>
      </w:divBdr>
    </w:div>
    <w:div w:id="450592205">
      <w:bodyDiv w:val="1"/>
      <w:marLeft w:val="0"/>
      <w:marRight w:val="0"/>
      <w:marTop w:val="0"/>
      <w:marBottom w:val="0"/>
      <w:divBdr>
        <w:top w:val="none" w:sz="0" w:space="0" w:color="auto"/>
        <w:left w:val="none" w:sz="0" w:space="0" w:color="auto"/>
        <w:bottom w:val="none" w:sz="0" w:space="0" w:color="auto"/>
        <w:right w:val="none" w:sz="0" w:space="0" w:color="auto"/>
      </w:divBdr>
      <w:divsChild>
        <w:div w:id="2119829785">
          <w:marLeft w:val="0"/>
          <w:marRight w:val="0"/>
          <w:marTop w:val="0"/>
          <w:marBottom w:val="0"/>
          <w:divBdr>
            <w:top w:val="none" w:sz="0" w:space="0" w:color="auto"/>
            <w:left w:val="none" w:sz="0" w:space="0" w:color="auto"/>
            <w:bottom w:val="none" w:sz="0" w:space="0" w:color="auto"/>
            <w:right w:val="none" w:sz="0" w:space="0" w:color="auto"/>
          </w:divBdr>
        </w:div>
      </w:divsChild>
    </w:div>
    <w:div w:id="961695301">
      <w:bodyDiv w:val="1"/>
      <w:marLeft w:val="0"/>
      <w:marRight w:val="0"/>
      <w:marTop w:val="0"/>
      <w:marBottom w:val="0"/>
      <w:divBdr>
        <w:top w:val="none" w:sz="0" w:space="0" w:color="auto"/>
        <w:left w:val="none" w:sz="0" w:space="0" w:color="auto"/>
        <w:bottom w:val="none" w:sz="0" w:space="0" w:color="auto"/>
        <w:right w:val="none" w:sz="0" w:space="0" w:color="auto"/>
      </w:divBdr>
    </w:div>
    <w:div w:id="1507131580">
      <w:bodyDiv w:val="1"/>
      <w:marLeft w:val="0"/>
      <w:marRight w:val="0"/>
      <w:marTop w:val="0"/>
      <w:marBottom w:val="0"/>
      <w:divBdr>
        <w:top w:val="none" w:sz="0" w:space="0" w:color="auto"/>
        <w:left w:val="none" w:sz="0" w:space="0" w:color="auto"/>
        <w:bottom w:val="none" w:sz="0" w:space="0" w:color="auto"/>
        <w:right w:val="none" w:sz="0" w:space="0" w:color="auto"/>
      </w:divBdr>
      <w:divsChild>
        <w:div w:id="1282375619">
          <w:marLeft w:val="0"/>
          <w:marRight w:val="0"/>
          <w:marTop w:val="0"/>
          <w:marBottom w:val="0"/>
          <w:divBdr>
            <w:top w:val="none" w:sz="0" w:space="0" w:color="auto"/>
            <w:left w:val="none" w:sz="0" w:space="0" w:color="auto"/>
            <w:bottom w:val="none" w:sz="0" w:space="0" w:color="auto"/>
            <w:right w:val="none" w:sz="0" w:space="0" w:color="auto"/>
          </w:divBdr>
        </w:div>
      </w:divsChild>
    </w:div>
    <w:div w:id="1635597430">
      <w:bodyDiv w:val="1"/>
      <w:marLeft w:val="0"/>
      <w:marRight w:val="0"/>
      <w:marTop w:val="0"/>
      <w:marBottom w:val="0"/>
      <w:divBdr>
        <w:top w:val="none" w:sz="0" w:space="0" w:color="auto"/>
        <w:left w:val="none" w:sz="0" w:space="0" w:color="auto"/>
        <w:bottom w:val="none" w:sz="0" w:space="0" w:color="auto"/>
        <w:right w:val="none" w:sz="0" w:space="0" w:color="auto"/>
      </w:divBdr>
      <w:divsChild>
        <w:div w:id="1297613036">
          <w:marLeft w:val="0"/>
          <w:marRight w:val="0"/>
          <w:marTop w:val="0"/>
          <w:marBottom w:val="0"/>
          <w:divBdr>
            <w:top w:val="none" w:sz="0" w:space="0" w:color="auto"/>
            <w:left w:val="none" w:sz="0" w:space="0" w:color="auto"/>
            <w:bottom w:val="none" w:sz="0" w:space="0" w:color="auto"/>
            <w:right w:val="none" w:sz="0" w:space="0" w:color="auto"/>
          </w:divBdr>
        </w:div>
      </w:divsChild>
    </w:div>
    <w:div w:id="1724869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vayre@uncp.edu.pe" TargetMode="External"/><Relationship Id="rId18" Type="http://schemas.openxmlformats.org/officeDocument/2006/relationships/image" Target="media/image1.png"/><Relationship Id="rId26" Type="http://schemas.openxmlformats.org/officeDocument/2006/relationships/hyperlink" Target="https://doi.org/10.1016/j.jclepro.2022.131456" TargetMode="External"/><Relationship Id="rId39" Type="http://schemas.openxmlformats.org/officeDocument/2006/relationships/hyperlink" Target="https://doi.org/10.17576/jkukm-2023-35(6)-01" TargetMode="External"/><Relationship Id="rId21" Type="http://schemas.openxmlformats.org/officeDocument/2006/relationships/hyperlink" Target="https://repositorio.uchile.cl/handle/2250/203801" TargetMode="External"/><Relationship Id="rId34" Type="http://schemas.openxmlformats.org/officeDocument/2006/relationships/hyperlink" Target="https://doi.org/10.7166/33-3-2787" TargetMode="External"/><Relationship Id="rId42" Type="http://schemas.openxmlformats.org/officeDocument/2006/relationships/hyperlink" Target="https://doi.org/10.1007/s12517-020-05833-6"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orcid.org/0009-0004-0337-3942" TargetMode="External"/><Relationship Id="rId29" Type="http://schemas.openxmlformats.org/officeDocument/2006/relationships/hyperlink" Target="https://doi.org/10.1016/j.wri.2020.10013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eorellana@uncp.edu.pe" TargetMode="External"/><Relationship Id="rId24" Type="http://schemas.openxmlformats.org/officeDocument/2006/relationships/hyperlink" Target="https://repositorio.unh.edu.pe/items/0c16f234-5891-4368-a63d-f52c77d7b71c" TargetMode="External"/><Relationship Id="rId32" Type="http://schemas.openxmlformats.org/officeDocument/2006/relationships/hyperlink" Target="https://doi.org/10.3390/electronics14040696" TargetMode="External"/><Relationship Id="rId37" Type="http://schemas.openxmlformats.org/officeDocument/2006/relationships/hyperlink" Target="https://repositorio.unsa.edu.pe/server/api/core/bitstreams/c4d11c83-5310-429e-b1fa-04729ae7511f/content" TargetMode="External"/><Relationship Id="rId40" Type="http://schemas.openxmlformats.org/officeDocument/2006/relationships/hyperlink" Target="https://doi.org/10.15446/dyna.v91n231.112093" TargetMode="External"/><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mailto:e_2006200286D@uncp.edu.pe" TargetMode="External"/><Relationship Id="rId23" Type="http://schemas.openxmlformats.org/officeDocument/2006/relationships/hyperlink" Target="https://doi.org/10.1007/978-3-031-41873-0_4" TargetMode="External"/><Relationship Id="rId28" Type="http://schemas.openxmlformats.org/officeDocument/2006/relationships/hyperlink" Target="https://doi.org/10.36948/ijfmr.2024.v06i05.27573" TargetMode="External"/><Relationship Id="rId36" Type="http://schemas.openxmlformats.org/officeDocument/2006/relationships/hyperlink" Target="https://doi.org/10.48175/IJARSCT-18484" TargetMode="External"/><Relationship Id="rId10" Type="http://schemas.openxmlformats.org/officeDocument/2006/relationships/hyperlink" Target="https://orcid.org/0000-0002-8302-378X" TargetMode="External"/><Relationship Id="rId19" Type="http://schemas.openxmlformats.org/officeDocument/2006/relationships/hyperlink" Target="https://doi.org/10.1109/ACCESS.2024.3392573" TargetMode="External"/><Relationship Id="rId31" Type="http://schemas.openxmlformats.org/officeDocument/2006/relationships/hyperlink" Target="https://doi.org/10.9734/ajrcos/2021/v8i230198"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janchiraico@uncp.edu.pe" TargetMode="External"/><Relationship Id="rId14" Type="http://schemas.openxmlformats.org/officeDocument/2006/relationships/hyperlink" Target="https://orcid.org/0009-0007-0271-1729" TargetMode="External"/><Relationship Id="rId22" Type="http://schemas.openxmlformats.org/officeDocument/2006/relationships/hyperlink" Target="https://doi.org/10.1109/ACCESS.2022.3151244" TargetMode="External"/><Relationship Id="rId27" Type="http://schemas.openxmlformats.org/officeDocument/2006/relationships/hyperlink" Target="https://doi.org/10.1038/s41598-023-34947-6" TargetMode="External"/><Relationship Id="rId30" Type="http://schemas.openxmlformats.org/officeDocument/2006/relationships/hyperlink" Target="https://doi.org/10.4081/gh.2021.965" TargetMode="External"/><Relationship Id="rId35" Type="http://schemas.openxmlformats.org/officeDocument/2006/relationships/hyperlink" Target="https://doi.org/10.47164/ijngc.v13i3.658" TargetMode="External"/><Relationship Id="rId43" Type="http://schemas.openxmlformats.org/officeDocument/2006/relationships/footer" Target="footer1.xml"/><Relationship Id="rId8" Type="http://schemas.openxmlformats.org/officeDocument/2006/relationships/hyperlink" Target="https://orcid.org/0009-0003-6434-0151" TargetMode="External"/><Relationship Id="rId3" Type="http://schemas.openxmlformats.org/officeDocument/2006/relationships/styles" Target="styles.xml"/><Relationship Id="rId12" Type="http://schemas.openxmlformats.org/officeDocument/2006/relationships/hyperlink" Target="https://orcid.org/0009-0005-1580-3935" TargetMode="External"/><Relationship Id="rId17" Type="http://schemas.openxmlformats.org/officeDocument/2006/relationships/hyperlink" Target="mailto:hpeceros@uncp.edu.pe" TargetMode="External"/><Relationship Id="rId25" Type="http://schemas.openxmlformats.org/officeDocument/2006/relationships/hyperlink" Target="https://doi.org/10.1109/ICESC54411.2022.9885358" TargetMode="External"/><Relationship Id="rId33" Type="http://schemas.openxmlformats.org/officeDocument/2006/relationships/hyperlink" Target="https://doi.org/10.3844/ajeassp.2020.499.515" TargetMode="External"/><Relationship Id="rId38" Type="http://schemas.openxmlformats.org/officeDocument/2006/relationships/hyperlink" Target="https://doi.org/10.1016/j.mineng.2021.107303" TargetMode="External"/><Relationship Id="rId46" Type="http://schemas.openxmlformats.org/officeDocument/2006/relationships/fontTable" Target="fontTable.xml"/><Relationship Id="rId20" Type="http://schemas.openxmlformats.org/officeDocument/2006/relationships/hyperlink" Target="https://repositorioacademico.upc.edu.pe/handle/10757/657615" TargetMode="External"/><Relationship Id="rId41" Type="http://schemas.openxmlformats.org/officeDocument/2006/relationships/hyperlink" Target="https://hdl.handle.net/20.500.12867/5031"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l\Downloads\PLANTILLA%20R.INVECOM%20VOL%206%20NUM%201.dotm"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DB623E-92FE-4625-AAD4-6F25590B2D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R.INVECOM VOL 6 NUM 1</Template>
  <TotalTime>78</TotalTime>
  <Pages>10</Pages>
  <Words>5418</Words>
  <Characters>30886</Characters>
  <Application>Microsoft Office Word</Application>
  <DocSecurity>0</DocSecurity>
  <Lines>257</Lines>
  <Paragraphs>72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36232</CharactersWithSpaces>
  <SharedDoc>false</SharedDoc>
  <HLinks>
    <vt:vector size="72" baseType="variant">
      <vt:variant>
        <vt:i4>1376294</vt:i4>
      </vt:variant>
      <vt:variant>
        <vt:i4>33</vt:i4>
      </vt:variant>
      <vt:variant>
        <vt:i4>0</vt:i4>
      </vt:variant>
      <vt:variant>
        <vt:i4>5</vt:i4>
      </vt:variant>
      <vt:variant>
        <vt:lpwstr>mailto:corredelautorejemplo@ejemplo.com</vt:lpwstr>
      </vt:variant>
      <vt:variant>
        <vt:lpwstr/>
      </vt:variant>
      <vt:variant>
        <vt:i4>6291510</vt:i4>
      </vt:variant>
      <vt:variant>
        <vt:i4>30</vt:i4>
      </vt:variant>
      <vt:variant>
        <vt:i4>0</vt:i4>
      </vt:variant>
      <vt:variant>
        <vt:i4>5</vt:i4>
      </vt:variant>
      <vt:variant>
        <vt:lpwstr>https://orcid.ejemplo/1231251204123123</vt:lpwstr>
      </vt:variant>
      <vt:variant>
        <vt:lpwstr/>
      </vt:variant>
      <vt:variant>
        <vt:i4>1376294</vt:i4>
      </vt:variant>
      <vt:variant>
        <vt:i4>27</vt:i4>
      </vt:variant>
      <vt:variant>
        <vt:i4>0</vt:i4>
      </vt:variant>
      <vt:variant>
        <vt:i4>5</vt:i4>
      </vt:variant>
      <vt:variant>
        <vt:lpwstr>mailto:corredelautorejemplo@ejemplo.com</vt:lpwstr>
      </vt:variant>
      <vt:variant>
        <vt:lpwstr/>
      </vt:variant>
      <vt:variant>
        <vt:i4>6291510</vt:i4>
      </vt:variant>
      <vt:variant>
        <vt:i4>24</vt:i4>
      </vt:variant>
      <vt:variant>
        <vt:i4>0</vt:i4>
      </vt:variant>
      <vt:variant>
        <vt:i4>5</vt:i4>
      </vt:variant>
      <vt:variant>
        <vt:lpwstr>https://orcid.ejemplo/1231251204123123</vt:lpwstr>
      </vt:variant>
      <vt:variant>
        <vt:lpwstr/>
      </vt:variant>
      <vt:variant>
        <vt:i4>1376294</vt:i4>
      </vt:variant>
      <vt:variant>
        <vt:i4>21</vt:i4>
      </vt:variant>
      <vt:variant>
        <vt:i4>0</vt:i4>
      </vt:variant>
      <vt:variant>
        <vt:i4>5</vt:i4>
      </vt:variant>
      <vt:variant>
        <vt:lpwstr>mailto:corredelautorejemplo@ejemplo.com</vt:lpwstr>
      </vt:variant>
      <vt:variant>
        <vt:lpwstr/>
      </vt:variant>
      <vt:variant>
        <vt:i4>6291510</vt:i4>
      </vt:variant>
      <vt:variant>
        <vt:i4>18</vt:i4>
      </vt:variant>
      <vt:variant>
        <vt:i4>0</vt:i4>
      </vt:variant>
      <vt:variant>
        <vt:i4>5</vt:i4>
      </vt:variant>
      <vt:variant>
        <vt:lpwstr>https://orcid.ejemplo/1231251204123123</vt:lpwstr>
      </vt:variant>
      <vt:variant>
        <vt:lpwstr/>
      </vt:variant>
      <vt:variant>
        <vt:i4>1376294</vt:i4>
      </vt:variant>
      <vt:variant>
        <vt:i4>15</vt:i4>
      </vt:variant>
      <vt:variant>
        <vt:i4>0</vt:i4>
      </vt:variant>
      <vt:variant>
        <vt:i4>5</vt:i4>
      </vt:variant>
      <vt:variant>
        <vt:lpwstr>mailto:corredelautorejemplo@ejemplo.com</vt:lpwstr>
      </vt:variant>
      <vt:variant>
        <vt:lpwstr/>
      </vt:variant>
      <vt:variant>
        <vt:i4>6291510</vt:i4>
      </vt:variant>
      <vt:variant>
        <vt:i4>12</vt:i4>
      </vt:variant>
      <vt:variant>
        <vt:i4>0</vt:i4>
      </vt:variant>
      <vt:variant>
        <vt:i4>5</vt:i4>
      </vt:variant>
      <vt:variant>
        <vt:lpwstr>https://orcid.ejemplo/1231251204123123</vt:lpwstr>
      </vt:variant>
      <vt:variant>
        <vt:lpwstr/>
      </vt:variant>
      <vt:variant>
        <vt:i4>1376294</vt:i4>
      </vt:variant>
      <vt:variant>
        <vt:i4>9</vt:i4>
      </vt:variant>
      <vt:variant>
        <vt:i4>0</vt:i4>
      </vt:variant>
      <vt:variant>
        <vt:i4>5</vt:i4>
      </vt:variant>
      <vt:variant>
        <vt:lpwstr>mailto:corredelautorejemplo@ejemplo.com</vt:lpwstr>
      </vt:variant>
      <vt:variant>
        <vt:lpwstr/>
      </vt:variant>
      <vt:variant>
        <vt:i4>6291510</vt:i4>
      </vt:variant>
      <vt:variant>
        <vt:i4>6</vt:i4>
      </vt:variant>
      <vt:variant>
        <vt:i4>0</vt:i4>
      </vt:variant>
      <vt:variant>
        <vt:i4>5</vt:i4>
      </vt:variant>
      <vt:variant>
        <vt:lpwstr>https://orcid.ejemplo/1231251204123123</vt:lpwstr>
      </vt:variant>
      <vt:variant>
        <vt:lpwstr/>
      </vt:variant>
      <vt:variant>
        <vt:i4>1376294</vt:i4>
      </vt:variant>
      <vt:variant>
        <vt:i4>3</vt:i4>
      </vt:variant>
      <vt:variant>
        <vt:i4>0</vt:i4>
      </vt:variant>
      <vt:variant>
        <vt:i4>5</vt:i4>
      </vt:variant>
      <vt:variant>
        <vt:lpwstr>mailto:corredelautorejemplo@ejemplo.com</vt:lpwstr>
      </vt:variant>
      <vt:variant>
        <vt:lpwstr/>
      </vt:variant>
      <vt:variant>
        <vt:i4>6291510</vt:i4>
      </vt:variant>
      <vt:variant>
        <vt:i4>0</vt:i4>
      </vt:variant>
      <vt:variant>
        <vt:i4>0</vt:i4>
      </vt:variant>
      <vt:variant>
        <vt:i4>5</vt:i4>
      </vt:variant>
      <vt:variant>
        <vt:lpwstr>https://orcid.ejemplo/1231251204123123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user</cp:lastModifiedBy>
  <cp:revision>16</cp:revision>
  <cp:lastPrinted>2025-06-18T22:01:00Z</cp:lastPrinted>
  <dcterms:created xsi:type="dcterms:W3CDTF">2025-08-04T23:29:00Z</dcterms:created>
  <dcterms:modified xsi:type="dcterms:W3CDTF">2025-08-05T01:58:00Z</dcterms:modified>
</cp:coreProperties>
</file>